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Rancangan Artikel Ilmiah</w:t>
        <w:br/>
      </w:r>
      <w:r>
        <w:rPr>
          <w:rFonts w:ascii="Arial" w:hAnsi="Arial"/>
          <w:b/>
          <w:sz w:val="28"/>
        </w:rPr>
        <w:t>Macaflavone-BCL-2 Docking, Pilot MD, and Ligand-Based GNN Prioritization</w:t>
      </w:r>
    </w:p>
    <w:p>
      <w:pPr>
        <w:jc w:val="center"/>
      </w:pPr>
      <w:r>
        <w:rPr>
          <w:i/>
          <w:sz w:val="20"/>
        </w:rPr>
        <w:t>Draft layout with main figures and numerical tables</w:t>
      </w:r>
    </w:p>
    <w:p>
      <w:pPr>
        <w:pStyle w:val="Heading1"/>
      </w:pPr>
      <w:r>
        <w:t>Proposed title</w:t>
      </w:r>
    </w:p>
    <w:p>
      <w:r>
        <w:t>Integrated Docking, Pilot Molecular Dynamics, and Ligand-Based GNN Prioritization of Macaflavone Candidates Targeting the BCL-2 Canonical Groove</w:t>
      </w:r>
    </w:p>
    <w:p>
      <w:pPr>
        <w:pStyle w:val="Heading1"/>
      </w:pPr>
      <w:r>
        <w:t>Article placement overview</w:t>
      </w:r>
    </w:p>
    <w:p>
      <w:pPr>
        <w:pStyle w:val="ListBullet"/>
      </w:pPr>
      <w:r>
        <w:t>Methods: Figure 1, Figure 2, Table 1, and Table 2.</w:t>
      </w:r>
    </w:p>
    <w:p>
      <w:pPr>
        <w:pStyle w:val="ListBullet"/>
      </w:pPr>
      <w:r>
        <w:t>Results and Discussion: Figure 3 to Figure 7 and Table 3 to Table 8.</w:t>
      </w:r>
    </w:p>
    <w:p>
      <w:pPr>
        <w:pStyle w:val="ListBullet"/>
      </w:pPr>
      <w:r>
        <w:t>All main tables are numerical. Narrative claim-boundary material should be moved to supplementary text or supplementary tables.</w:t>
      </w:r>
    </w:p>
    <w:p>
      <w:pPr>
        <w:pStyle w:val="ListBullet"/>
      </w:pPr>
      <w:r>
        <w:t>The article should claim computational prioritization only; it should not claim confirmed BCL-2 inhibition, apoptosis activation, or functional conversion.</w:t>
      </w:r>
    </w:p>
    <w:p>
      <w:r>
        <w:br w:type="page"/>
      </w:r>
    </w:p>
    <w:p>
      <w:pPr>
        <w:pStyle w:val="Heading1"/>
      </w:pPr>
      <w:r>
        <w:t>2. Methods</w:t>
      </w:r>
    </w:p>
    <w:p>
      <w:pPr>
        <w:pStyle w:val="Heading2"/>
      </w:pPr>
      <w:r>
        <w:t>2.1 Overall computational workflow</w:t>
      </w:r>
    </w:p>
    <w:p>
      <w:r>
        <w:t>The workflow integrates ligand curation, BCL-2 target preparation, strict local docking, complex preparation, short-timescale pilot molecular dynamics, ligand-based GNN modeling, applicability-domain analysis, and final conservative prioritization.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entific_workflow_for_macaflavone_priorit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Integrated computational workflow for Macaflavone-based BCL-2 prioritization.</w:t>
      </w:r>
    </w:p>
    <w:p/>
    <w:p>
      <w:r>
        <w:rPr>
          <w:b/>
          <w:sz w:val="18"/>
        </w:rPr>
        <w:t>Table 1. Ligand descriptors and computational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Ligand</w:t>
            </w:r>
          </w:p>
        </w:tc>
        <w:tc>
          <w:tcPr>
            <w:tcW w:type="dxa" w:w="14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Atom count</w:t>
            </w:r>
          </w:p>
        </w:tc>
        <w:tc>
          <w:tcPr>
            <w:tcW w:type="dxa" w:w="14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Bond count</w:t>
            </w:r>
          </w:p>
        </w:tc>
        <w:tc>
          <w:tcPr>
            <w:tcW w:type="dxa" w:w="14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Role code</w:t>
            </w:r>
          </w:p>
        </w:tc>
        <w:tc>
          <w:tcPr>
            <w:tcW w:type="dxa" w:w="14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Docking</w:t>
            </w:r>
          </w:p>
        </w:tc>
        <w:tc>
          <w:tcPr>
            <w:tcW w:type="dxa" w:w="14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Pilot MD</w:t>
            </w:r>
          </w:p>
        </w:tc>
        <w:tc>
          <w:tcPr>
            <w:tcW w:type="dxa" w:w="14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GNN prediction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Macaflavone I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34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Macaflavone II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35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Venetoclax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68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BFC1103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27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BFC1108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</w:tbl>
    <w:p/>
    <w:p>
      <w:pPr>
        <w:pStyle w:val="Heading2"/>
      </w:pPr>
      <w:r>
        <w:t>2.2 Ligand and BCL-2 target preparation</w:t>
      </w:r>
    </w:p>
    <w:p>
      <w:r>
        <w:t>Macaflavone I, Macaflavone II, Venetoclax, BFC1103, and BFC1108 were standardized from molecular structures and used according to their computational roles. BCL-2 was prepared for canonical-groove docking, with a comparison region used for specificity checking.</w:t>
      </w:r>
    </w:p>
    <w:p>
      <w:pPr>
        <w:pStyle w:val="Heading2"/>
      </w:pPr>
      <w:r>
        <w:t>2.3 Strict local docking and pilot MD setup</w:t>
      </w:r>
    </w:p>
    <w:p>
      <w:r>
        <w:t>Strict local docking was performed at the BCL-2 canonical groove. Selected protein-ligand complexes were then prepared for short-timescale pilot MD diagnostics. The extended pilot MD duration was 0.20 ns; therefore, MD-derived interpretations must remain short-timescale and hypothesis-generating.</w:t>
      </w:r>
    </w:p>
    <w:p>
      <w:r>
        <w:rPr>
          <w:b/>
          <w:sz w:val="18"/>
        </w:rPr>
        <w:t>Table 2. Computational setup and dataset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Component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Number / setting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Macaflavone candidates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Canonical reference control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Comparator ligands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Total external ligands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Main docking region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Comparison docking region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Pilot MD systems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Smoke-test MD duration (ns)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0.05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Extended pilot MD duration (ns)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0.2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ChEMBL BCL-2 raw activity records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15,736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Cleaned records before deduplication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5,906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RDKit-valid unique molecules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3,173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Training molecules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2,221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Validation molecules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475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Test molecules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477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GNN atom-feature dimension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35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GNN hidden dimension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128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GNN message-passing layers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Dropout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0.2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Maximum training epochs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Best GNN epoch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102</w:t>
            </w:r>
          </w:p>
        </w:tc>
      </w:tr>
    </w:tbl>
    <w:p/>
    <w:p>
      <w:pPr>
        <w:pStyle w:val="Heading2"/>
      </w:pPr>
      <w:r>
        <w:t>2.4 Ligand-based GNN architecture and training</w:t>
      </w:r>
    </w:p>
    <w:p>
      <w:r>
        <w:t>The GNN was implemented as a ligand-based GIN-like molecular graph regression model. It used RDKit molecular graphs, 35-dimensional atom features, 128 hidden units, three message-passing layers, masked mean pooling, and a regression head for pActivity prediction. Morgan fingerprint Random Forest and Morgan Ridge were included as baselines.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and_based_gnn_architectur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Ligand-based GNN architecture for BCL-2 prioritization.</w:t>
      </w:r>
    </w:p>
    <w:p/>
    <w:p>
      <w:r>
        <w:br w:type="page"/>
      </w:r>
    </w:p>
    <w:p>
      <w:pPr>
        <w:pStyle w:val="Heading1"/>
      </w:pPr>
      <w:r>
        <w:t>3. Results and Discussion</w:t>
      </w:r>
    </w:p>
    <w:p>
      <w:pPr>
        <w:pStyle w:val="Heading2"/>
      </w:pPr>
      <w:r>
        <w:t>3.1 Strict local docking and control benchmarking</w:t>
      </w:r>
    </w:p>
    <w:p>
      <w:r>
        <w:t>Venetoclax retained the strongest canonical-groove docking affinity. Among the natural-product candidates, Macaflavone II slightly outperformed Macaflavone I in the canonical groove.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51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exact_docking_benchmar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Strict local docking and control benchmarking.</w:t>
      </w:r>
    </w:p>
    <w:p/>
    <w:p>
      <w:r>
        <w:rPr>
          <w:b/>
          <w:sz w:val="18"/>
        </w:rPr>
        <w:t>Table 3. Selected docking results and canonical-groove contact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Ligand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Binding affinity kcal/mol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Strict valid poses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Target contact residues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Off-target contact ratio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Docking rank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Venetoclax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-9.093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0.455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Macaflavone II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-7.54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0.385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Macaflavone 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-7.479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0.385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</w:tr>
    </w:tbl>
    <w:p/>
    <w:p>
      <w:pPr>
        <w:pStyle w:val="Heading2"/>
      </w:pPr>
      <w:r>
        <w:t>3.2 Pilot MD descriptor summary</w:t>
      </w:r>
    </w:p>
    <w:p>
      <w:r>
        <w:t>Pilot MD descriptors were used as short-timescale stability and interaction-persistence diagnostics. These descriptors support ranking within the computational workflow but do not establish long-timescale binding stability.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7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exact_md_descrip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Pilot molecular dynamics descriptor summary.</w:t>
      </w:r>
    </w:p>
    <w:p/>
    <w:p>
      <w:r>
        <w:rPr>
          <w:b/>
          <w:sz w:val="18"/>
        </w:rPr>
        <w:t>Table 4. Pilot MD descriptor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System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Backbone RMSD mean nm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Backbone RMSF mean nm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Rg mean nm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SASA mean nm2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Ligand RMSD mean nm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H-bond mean count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Contact mean count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Min distance mean nm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Interaction rank</w:t>
            </w:r>
          </w:p>
        </w:tc>
        <w:tc>
          <w:tcPr>
            <w:tcW w:type="dxa" w:w="9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Interaction persistence score</w:t>
            </w:r>
          </w:p>
        </w:tc>
      </w:tr>
      <w:tr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Macaflavone I canonical groove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0.224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0.164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1.966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147.945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0.232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2.382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126.363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0.163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9</w:t>
            </w:r>
          </w:p>
        </w:tc>
      </w:tr>
      <w:tr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Macaflavone II canonical groove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0.225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0.145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1.945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143.704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0.269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2.392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138.294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0.163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</w:t>
            </w:r>
          </w:p>
        </w:tc>
      </w:tr>
      <w:tr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Venetoclax canonical control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0.218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0.147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1.906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149.002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0.169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1.363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239.99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0.195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94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</w:tr>
    </w:tbl>
    <w:p/>
    <w:p>
      <w:pPr>
        <w:pStyle w:val="Heading2"/>
      </w:pPr>
      <w:r>
        <w:t>3.3 Integrated docking-MD-GNN prioritization</w:t>
      </w:r>
    </w:p>
    <w:p>
      <w:r>
        <w:t>The integrated numerical matrix combines docking normalization, MD normalization, GNN support, applicability-domain support, and the final consensus score. Venetoclax remained the strongest reference control, while Macaflavone II was prioritized over Macaflavone I among the Macaflavone candidates.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77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exact_integrated_priorit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7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Integrated docking-MD-GNN prioritization matrix.</w:t>
      </w:r>
    </w:p>
    <w:p/>
    <w:p>
      <w:r>
        <w:rPr>
          <w:b/>
          <w:sz w:val="18"/>
        </w:rPr>
        <w:t>Table 5. Integrated docking-MD-GNN normalization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Ligand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Docking affinity kcal/mol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MD interaction rank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MD persistence score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Docking norm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MD norm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GNN norm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AD norm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Consensus score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Consensus rank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Venetoclax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-9.093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0.5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0.825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Macaflavone II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-7.54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0.038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0.25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0.388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</w:tr>
      <w:tr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Macaflavone I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-7.479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9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0.124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0.25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0.05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</w:tr>
    </w:tbl>
    <w:p/>
    <w:p>
      <w:pPr>
        <w:pStyle w:val="Heading2"/>
      </w:pPr>
      <w:r>
        <w:t>3.4 Mechanistic hypothesis for BCL-2 engagement</w:t>
      </w:r>
    </w:p>
    <w:p>
      <w:r>
        <w:t>The mechanistic model should be interpreted as a hypothesis. The figure illustrates possible canonical-groove engagement and potential anti-apoptotic pathway implication, but it must not be written as confirmed biological mechanism.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l_2_ligand_interactions_and_apoptosis_pathw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Integrated mechanistic hypothesis for BCL-2 engagement by Macaflavone II.</w:t>
      </w:r>
    </w:p>
    <w:p/>
    <w:p>
      <w:pPr>
        <w:pStyle w:val="Heading2"/>
      </w:pPr>
      <w:r>
        <w:t>3.5 Ligand-based GNN performance and external prediction</w:t>
      </w:r>
    </w:p>
    <w:p>
      <w:r>
        <w:t>The GIN-GNN produced useful ligand-based predictions but did not outperform the Morgan RF baseline by test MAE. External Macaflavone predictions had low applicability-domain similarity and therefore require conservative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47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exact_gnn_prediction_molecu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Ligand-based GNN prediction and molecular interpretation.</w:t>
      </w:r>
    </w:p>
    <w:p/>
    <w:p>
      <w:r>
        <w:rPr>
          <w:b/>
          <w:sz w:val="18"/>
        </w:rPr>
        <w:t>Table 6. GNN model performance and baseline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Model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Split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RMSE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R2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Pearson r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Spearman rho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GIN-GNN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Test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0.827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Morgan RF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Test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0.514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0.872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Morgan Ridge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Test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0.882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0.836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0.83</w:t>
            </w:r>
          </w:p>
        </w:tc>
      </w:tr>
    </w:tbl>
    <w:p/>
    <w:p>
      <w:r>
        <w:rPr>
          <w:b/>
          <w:sz w:val="18"/>
        </w:rPr>
        <w:t>Table 7. External ligand prediction and applicability-domain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Ligand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GNN pActivity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RF pActivity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Ridge pActivity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Model-consensus pActivity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Max Tanimoto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AD code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Prediction rank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Venetoclax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9.152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8.736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9.997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9.295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Macaflavone I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6.042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6.296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6.241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6.193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0.198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Macaflavone II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5.756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6.333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5.178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5.755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0.212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BFC1108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5.566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5.781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5.102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5.483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0.321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BFC1103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5.404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5.364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0.308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</w:tr>
    </w:tbl>
    <w:p/>
    <w:p>
      <w:pPr>
        <w:pStyle w:val="Heading2"/>
      </w:pPr>
      <w:r>
        <w:t>3.6 Final consensus ranking</w:t>
      </w:r>
    </w:p>
    <w:p>
      <w:r>
        <w:t>The final ranking supports Macaflavone II as the stronger Macaflavone candidate for follow-up MM-PBSA, longer MD, or experimental validation. Venetoclax remains the reference control. The workflow does not establish confirmed BCL-2 inhibition or apoptosis activation.</w:t>
      </w:r>
    </w:p>
    <w:p>
      <w:r>
        <w:rPr>
          <w:b/>
          <w:sz w:val="18"/>
        </w:rPr>
        <w:t>Table 8. Final docking-MD-GNN consensus ranking.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Ligand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Docking rank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MD rank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GNN prediction rank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AD code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Docking affinity kcal/mol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GNN consensus pActivity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consensus score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rank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Venetoclax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-9.093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9.295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0.825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Macaflavone II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-7.54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5.755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0.388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Macaflavone I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-7.479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6.193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</w:tbl>
    <w:p/>
    <w:p>
      <w:pPr>
        <w:pStyle w:val="Heading1"/>
      </w:pPr>
      <w:r>
        <w:t>4. Conclusion draft</w:t>
      </w:r>
    </w:p>
    <w:p>
      <w:r>
        <w:t>This article should be framed as a computational prioritization study. Macaflavone II is prioritized over Macaflavone I by docking-MD evidence, while GNN prediction provides an auxiliary ligand-based signal with low applicability-domain confidence for Macaflavones. Follow-up MM-PBSA, longer molecular dynamics, and experimental validation are required before biological mechanism claims are made.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