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2F4A"/>
          <w:sz w:val="36"/>
        </w:rPr>
        <w:t>Rancangan Manuscript dan Paket Gambar-Tabel</w:t>
      </w:r>
    </w:p>
    <w:p>
      <w:pPr>
        <w:jc w:val="center"/>
      </w:pPr>
      <w:r>
        <w:rPr>
          <w:rFonts w:ascii="Arial" w:hAnsi="Arial" w:eastAsia="Arial"/>
          <w:i/>
          <w:sz w:val="22"/>
        </w:rPr>
        <w:t>Integrated Docking, Pilot Molecular Dynamics, and Ligand-Based GNN Prioritization of Macaflavone Candidates Targeting BCL-2</w:t>
      </w:r>
    </w:p>
    <w:tbl>
      <w:tblPr>
        <w:tblStyle w:val="TableGrid"/>
        <w:tblW w:type="auto" w:w="0"/>
        <w:jc w:val="center"/>
        <w:tblLook w:firstColumn="1" w:firstRow="1" w:lastColumn="0" w:lastRow="0" w:noHBand="0" w:noVBand="1" w:val="04A0"/>
      </w:tblPr>
      <w:tblGrid>
        <w:gridCol w:w="10368"/>
      </w:tblGrid>
      <w:tr>
        <w:tc>
          <w:tcPr>
            <w:tcW w:type="dxa" w:w="10368"/>
            <w:vAlign w:val="top"/>
            <w:tcBorders>
              <w:top w:sz="4" w:val="single" w:color="B7C9D9"/>
              <w:left w:sz="4" w:val="single" w:color="B7C9D9"/>
              <w:bottom w:sz="4" w:val="single" w:color="B7C9D9"/>
              <w:right w:sz="4" w:val="single" w:color="B7C9D9"/>
            </w:tcBorders>
            <w:shd w:fill="E9F5EE"/>
          </w:tcPr>
          <w:p>
            <w:pPr>
              <w:spacing w:after="40" w:before="0"/>
              <w:jc w:val="left"/>
            </w:pPr>
            <w:r>
              <w:rPr>
                <w:rFonts w:ascii="Arial" w:hAnsi="Arial" w:eastAsia="Arial"/>
                <w:b/>
                <w:color w:val="0B3D91"/>
                <w:sz w:val="20"/>
              </w:rPr>
              <w:t>Status singkat</w:t>
              <w:br/>
            </w:r>
            <w:r>
              <w:rPr>
                <w:rFonts w:ascii="Arial" w:hAnsi="Arial" w:eastAsia="Arial"/>
                <w:sz w:val="18"/>
              </w:rPr>
              <w:t>Dataset dan output komputasi sudah cukup untuk artikel in silico berbasis prioritization workflow. Klaim harus dibatasi pada computational prioritization; bukan bukti langsung inhibisi BCL-2, aktivasi apoptosis, atau functional conversion. Stage 9E perlu dirapikan karena ada indikasi duplikasi/mapping Macaflavone I/II pada tabel molecular docking-GNN validation.</w:t>
            </w:r>
          </w:p>
        </w:tc>
      </w:tr>
    </w:tbl>
    <w:p/>
    <w:p>
      <w:pPr>
        <w:jc w:val="center"/>
      </w:pPr>
      <w:r>
        <w:drawing>
          <wp:inline xmlns:a="http://schemas.openxmlformats.org/drawingml/2006/main" xmlns:pic="http://schemas.openxmlformats.org/drawingml/2006/picture">
            <wp:extent cx="6492240" cy="4060720"/>
            <wp:docPr id="1" name="Picture 1"/>
            <wp:cNvGraphicFramePr>
              <a:graphicFrameLocks noChangeAspect="1"/>
            </wp:cNvGraphicFramePr>
            <a:graphic>
              <a:graphicData uri="http://schemas.openxmlformats.org/drawingml/2006/picture">
                <pic:pic>
                  <pic:nvPicPr>
                    <pic:cNvPr id="0" name="scientific_workflow_for_macaflavone_prioritization.png"/>
                    <pic:cNvPicPr/>
                  </pic:nvPicPr>
                  <pic:blipFill>
                    <a:blip r:embed="rId9"/>
                    <a:stretch>
                      <a:fillRect/>
                    </a:stretch>
                  </pic:blipFill>
                  <pic:spPr>
                    <a:xfrm>
                      <a:off x="0" y="0"/>
                      <a:ext cx="6492240" cy="4060720"/>
                    </a:xfrm>
                    <a:prstGeom prst="rect"/>
                  </pic:spPr>
                </pic:pic>
              </a:graphicData>
            </a:graphic>
          </wp:inline>
        </w:drawing>
      </w:r>
    </w:p>
    <w:p>
      <w:pPr>
        <w:spacing w:before="60" w:after="180"/>
        <w:jc w:val="center"/>
      </w:pPr>
      <w:r>
        <w:rPr>
          <w:rFonts w:ascii="Arial" w:hAnsi="Arial" w:eastAsia="Arial"/>
          <w:i/>
          <w:color w:val="444444"/>
          <w:sz w:val="18"/>
        </w:rPr>
        <w:t>Figure 1. Integrated workflow for Macaflavone-based BCL-2 prioritization. Draft architecture-style workflow figure inserted for manuscript planning.</w:t>
      </w:r>
    </w:p>
    <w:p>
      <w:r>
        <w:br w:type="page"/>
      </w:r>
    </w:p>
    <w:p>
      <w:pPr>
        <w:pStyle w:val="Heading1"/>
      </w:pPr>
      <w:r>
        <w:t>1. Rancangan artikel</w:t>
      </w:r>
    </w:p>
    <w:p>
      <w:pPr>
        <w:spacing w:before="120" w:after="80"/>
      </w:pPr>
      <w:r>
        <w:rPr>
          <w:rFonts w:ascii="Arial" w:hAnsi="Arial" w:eastAsia="Arial"/>
          <w:b/>
          <w:sz w:val="20"/>
        </w:rPr>
        <w:t>Table 1. Manuscript positioning and claim boundary</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tcBorders>
              <w:top w:sz="4" w:val="single" w:color="B7C9D9"/>
              <w:left w:sz="4" w:val="single" w:color="B7C9D9"/>
              <w:bottom w:sz="4" w:val="single" w:color="B7C9D9"/>
              <w:right w:sz="4" w:val="single" w:color="B7C9D9"/>
            </w:tcBorders>
            <w:shd w:fill="D9EAF7"/>
          </w:tcPr>
          <w:p>
            <w:pPr>
              <w:spacing w:after="40" w:before="0"/>
            </w:pPr>
            <w:r>
              <w:rPr>
                <w:rFonts w:ascii="Arial" w:hAnsi="Arial" w:eastAsia="Arial"/>
                <w:b/>
                <w:color w:val="0F2D52"/>
                <w:sz w:val="17"/>
              </w:rPr>
              <w:t>Aspek</w:t>
            </w:r>
          </w:p>
        </w:tc>
        <w:tc>
          <w:tcPr>
            <w:tcW w:type="dxa" w:w="4320"/>
            <w:vAlign w:val="top"/>
            <w:tcBorders>
              <w:top w:sz="4" w:val="single" w:color="B7C9D9"/>
              <w:left w:sz="4" w:val="single" w:color="B7C9D9"/>
              <w:bottom w:sz="4" w:val="single" w:color="B7C9D9"/>
              <w:right w:sz="4" w:val="single" w:color="B7C9D9"/>
            </w:tcBorders>
            <w:shd w:fill="D9EAF7"/>
          </w:tcPr>
          <w:p>
            <w:pPr>
              <w:spacing w:after="40" w:before="0"/>
            </w:pPr>
            <w:r>
              <w:rPr>
                <w:rFonts w:ascii="Arial" w:hAnsi="Arial" w:eastAsia="Arial"/>
                <w:b/>
                <w:color w:val="0F2D52"/>
                <w:sz w:val="17"/>
              </w:rPr>
              <w:t>Rancangan yang disarankan</w:t>
            </w:r>
          </w:p>
        </w:tc>
        <w:tc>
          <w:tcPr>
            <w:tcW w:type="dxa" w:w="3456"/>
            <w:vAlign w:val="top"/>
            <w:tcBorders>
              <w:top w:sz="4" w:val="single" w:color="B7C9D9"/>
              <w:left w:sz="4" w:val="single" w:color="B7C9D9"/>
              <w:bottom w:sz="4" w:val="single" w:color="B7C9D9"/>
              <w:right w:sz="4" w:val="single" w:color="B7C9D9"/>
            </w:tcBorders>
            <w:shd w:fill="D9EAF7"/>
          </w:tcPr>
          <w:p>
            <w:pPr>
              <w:spacing w:after="40" w:before="0"/>
            </w:pPr>
            <w:r>
              <w:rPr>
                <w:rFonts w:ascii="Arial" w:hAnsi="Arial" w:eastAsia="Arial"/>
                <w:b/>
                <w:color w:val="0F2D52"/>
                <w:sz w:val="17"/>
              </w:rPr>
              <w:t>Batas klaim</w:t>
            </w:r>
          </w:p>
        </w:tc>
      </w:tr>
      <w:tr>
        <w:tc>
          <w:tcPr>
            <w:tcW w:type="dxa" w:w="230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Article type</w:t>
            </w:r>
          </w:p>
        </w:tc>
        <w:tc>
          <w:tcPr>
            <w:tcW w:type="dxa" w:w="432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Computational screening / in silico prioritization workflow</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Bukan artikel validasi biologis atau preclinical anticancer claim</w:t>
            </w:r>
          </w:p>
        </w:tc>
      </w:tr>
      <w:tr>
        <w:tc>
          <w:tcPr>
            <w:tcW w:type="dxa" w:w="230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Core novelty</w:t>
            </w:r>
          </w:p>
        </w:tc>
        <w:tc>
          <w:tcPr>
            <w:tcW w:type="dxa" w:w="432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Integrasi docking, control benchmarking, pilot MD, ligand-based GNN, applicability domain, dan claim-boundary matrix</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GNN hanya auxiliary ligand-based signal</w:t>
            </w:r>
          </w:p>
        </w:tc>
      </w:tr>
      <w:tr>
        <w:tc>
          <w:tcPr>
            <w:tcW w:type="dxa" w:w="230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candidate framing</w:t>
            </w:r>
          </w:p>
        </w:tc>
        <w:tc>
          <w:tcPr>
            <w:tcW w:type="dxa" w:w="432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Macaflavone II diprioritaskan di antara kandidat Macaflavone berdasarkan docking dan pilot MD</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Tidak menyatakan Macaflavone II terbukti inhibitor BCL-2</w:t>
            </w:r>
          </w:p>
        </w:tc>
      </w:tr>
      <w:tr>
        <w:tc>
          <w:tcPr>
            <w:tcW w:type="dxa" w:w="230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Reference control</w:t>
            </w:r>
          </w:p>
        </w:tc>
        <w:tc>
          <w:tcPr>
            <w:tcW w:type="dxa" w:w="432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Venetoclax digunakan sebagai canonical-groove reference control</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Bukan untuk menyetarakan potensi Macaflavone dengan Venetoclax</w:t>
            </w:r>
          </w:p>
        </w:tc>
      </w:tr>
      <w:tr>
        <w:tc>
          <w:tcPr>
            <w:tcW w:type="dxa" w:w="230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Recommended target journal level</w:t>
            </w:r>
          </w:p>
        </w:tc>
        <w:tc>
          <w:tcPr>
            <w:tcW w:type="dxa" w:w="432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Computational chemistry, molecular modeling, natural product informatics, or cheminformatics journal</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Hindari jurnal dengan tuntutan validasi eksperimen wajib</w:t>
            </w:r>
          </w:p>
        </w:tc>
      </w:tr>
    </w:tbl>
    <w:p/>
    <w:p>
      <w:pPr>
        <w:spacing w:before="120" w:after="80"/>
      </w:pPr>
      <w:r>
        <w:rPr>
          <w:rFonts w:ascii="Arial" w:hAnsi="Arial" w:eastAsia="Arial"/>
          <w:b/>
          <w:sz w:val="20"/>
        </w:rPr>
        <w:t>Table 2. Proposed manuscript structure</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tcBorders>
              <w:top w:sz="4" w:val="single" w:color="B7C9D9"/>
              <w:left w:sz="4" w:val="single" w:color="B7C9D9"/>
              <w:bottom w:sz="4" w:val="single" w:color="B7C9D9"/>
              <w:right w:sz="4" w:val="single" w:color="B7C9D9"/>
            </w:tcBorders>
            <w:shd w:fill="E8F0FE"/>
          </w:tcPr>
          <w:p>
            <w:pPr>
              <w:spacing w:after="40" w:before="0"/>
            </w:pPr>
            <w:r>
              <w:rPr>
                <w:rFonts w:ascii="Arial" w:hAnsi="Arial" w:eastAsia="Arial"/>
                <w:b/>
                <w:color w:val="0F2D52"/>
                <w:sz w:val="17"/>
              </w:rPr>
              <w:t>Section</w:t>
            </w:r>
          </w:p>
        </w:tc>
        <w:tc>
          <w:tcPr>
            <w:tcW w:type="dxa" w:w="5760"/>
            <w:vAlign w:val="top"/>
            <w:tcBorders>
              <w:top w:sz="4" w:val="single" w:color="B7C9D9"/>
              <w:left w:sz="4" w:val="single" w:color="B7C9D9"/>
              <w:bottom w:sz="4" w:val="single" w:color="B7C9D9"/>
              <w:right w:sz="4" w:val="single" w:color="B7C9D9"/>
            </w:tcBorders>
            <w:shd w:fill="E8F0FE"/>
          </w:tcPr>
          <w:p>
            <w:pPr>
              <w:spacing w:after="40" w:before="0"/>
            </w:pPr>
            <w:r>
              <w:rPr>
                <w:rFonts w:ascii="Arial" w:hAnsi="Arial" w:eastAsia="Arial"/>
                <w:b/>
                <w:color w:val="0F2D52"/>
                <w:sz w:val="17"/>
              </w:rPr>
              <w:t>Isi utama</w:t>
            </w:r>
          </w:p>
        </w:tc>
        <w:tc>
          <w:tcPr>
            <w:tcW w:type="dxa" w:w="2448"/>
            <w:vAlign w:val="top"/>
            <w:tcBorders>
              <w:top w:sz="4" w:val="single" w:color="B7C9D9"/>
              <w:left w:sz="4" w:val="single" w:color="B7C9D9"/>
              <w:bottom w:sz="4" w:val="single" w:color="B7C9D9"/>
              <w:right w:sz="4" w:val="single" w:color="B7C9D9"/>
            </w:tcBorders>
            <w:shd w:fill="E8F0FE"/>
          </w:tcPr>
          <w:p>
            <w:pPr>
              <w:spacing w:after="40" w:before="0"/>
            </w:pPr>
            <w:r>
              <w:rPr>
                <w:rFonts w:ascii="Arial" w:hAnsi="Arial" w:eastAsia="Arial"/>
                <w:b/>
                <w:color w:val="0F2D52"/>
                <w:sz w:val="17"/>
              </w:rPr>
              <w:t>Figure/Table terkait</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Abstract</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Masalah BCL-2 prioritization, Macaflavone candidates, integrated docking-pilot MD-GNN workflow, conservative conclusion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Tidak perlu figure</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1. Introduction</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BCL-2 target relevance, natural products, Macaflavone rationale, gap pada docking-only studies</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1 sebagai overview</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2. Methods</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Ligand preparation, target preparation, strict local docking, complex preparation, pilot MD, GNN architecture, AD, consensus ranking</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2 GNN architecture; Table 3/4/5</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3. Results</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Docking benchmark, pilot MD descriptors, integrated interpretation, GNN prediction, claim boundary</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Figures 3-7; Tables 4-7</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4. Discussion</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Macaflavone II prioritization, comparison to Venetoclax, limits of 0.2 ns MD and low AD GNN predictions</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Claim-boundary table</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5. Conclusions</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Macaflavone II sebagai candidate for follow-up; perlu MM-PBSA, longer MD, or experimental validation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Tidak perlu figure</w:t>
            </w:r>
          </w:p>
        </w:tc>
      </w:tr>
      <w:tr>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Supplementary Information</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Full docking outputs, manifests, QC, GNN saliency, Stage 9E after correction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Figures S1-S2; Tables S1-S41</w:t>
            </w:r>
          </w:p>
        </w:tc>
      </w:tr>
    </w:tbl>
    <w:p/>
    <w:p>
      <w:pPr>
        <w:pStyle w:val="Heading1"/>
      </w:pPr>
      <w:r>
        <w:t>2. Rancangan gambar</w:t>
      </w:r>
    </w:p>
    <w:p>
      <w:pPr>
        <w:spacing w:before="120" w:after="80"/>
      </w:pPr>
      <w:r>
        <w:rPr>
          <w:rFonts w:ascii="Arial" w:hAnsi="Arial" w:eastAsia="Arial"/>
          <w:b/>
          <w:sz w:val="20"/>
        </w:rPr>
        <w:t>Table 3. Recommended figure allocation</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tcBorders>
              <w:top w:sz="4" w:val="single" w:color="B7C9D9"/>
              <w:left w:sz="4" w:val="single" w:color="B7C9D9"/>
              <w:bottom w:sz="4" w:val="single" w:color="B7C9D9"/>
              <w:right w:sz="4" w:val="single" w:color="B7C9D9"/>
            </w:tcBorders>
            <w:shd w:fill="DFF2E1"/>
          </w:tcPr>
          <w:p>
            <w:pPr>
              <w:spacing w:after="40" w:before="0"/>
            </w:pPr>
            <w:r>
              <w:rPr>
                <w:rFonts w:ascii="Arial" w:hAnsi="Arial" w:eastAsia="Arial"/>
                <w:b/>
                <w:color w:val="0F2D52"/>
                <w:sz w:val="17"/>
              </w:rPr>
              <w:t>Figure</w:t>
            </w:r>
          </w:p>
        </w:tc>
        <w:tc>
          <w:tcPr>
            <w:tcW w:type="dxa" w:w="6192"/>
            <w:vAlign w:val="top"/>
            <w:tcBorders>
              <w:top w:sz="4" w:val="single" w:color="B7C9D9"/>
              <w:left w:sz="4" w:val="single" w:color="B7C9D9"/>
              <w:bottom w:sz="4" w:val="single" w:color="B7C9D9"/>
              <w:right w:sz="4" w:val="single" w:color="B7C9D9"/>
            </w:tcBorders>
            <w:shd w:fill="DFF2E1"/>
          </w:tcPr>
          <w:p>
            <w:pPr>
              <w:spacing w:after="40" w:before="0"/>
            </w:pPr>
            <w:r>
              <w:rPr>
                <w:rFonts w:ascii="Arial" w:hAnsi="Arial" w:eastAsia="Arial"/>
                <w:b/>
                <w:color w:val="0F2D52"/>
                <w:sz w:val="17"/>
              </w:rPr>
              <w:t>Judul/isi</w:t>
            </w:r>
          </w:p>
        </w:tc>
        <w:tc>
          <w:tcPr>
            <w:tcW w:type="dxa" w:w="2448"/>
            <w:vAlign w:val="top"/>
            <w:tcBorders>
              <w:top w:sz="4" w:val="single" w:color="B7C9D9"/>
              <w:left w:sz="4" w:val="single" w:color="B7C9D9"/>
              <w:bottom w:sz="4" w:val="single" w:color="B7C9D9"/>
              <w:right w:sz="4" w:val="single" w:color="B7C9D9"/>
            </w:tcBorders>
            <w:shd w:fill="DFF2E1"/>
          </w:tcPr>
          <w:p>
            <w:pPr>
              <w:spacing w:after="40" w:before="0"/>
            </w:pPr>
            <w:r>
              <w:rPr>
                <w:rFonts w:ascii="Arial" w:hAnsi="Arial" w:eastAsia="Arial"/>
                <w:b/>
                <w:color w:val="0F2D52"/>
                <w:sz w:val="17"/>
              </w:rPr>
              <w:t>Status penggunaan</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1</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Integrated workflow for Macaflavone-based BCL-2 prioritization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manuscript - already inserted in this document</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2</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Ligand-based GNN architecture for BCL-2 prioritization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Methods figure - inserted below</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3</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Strict local docking and control benchmarking</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Results figure</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4</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Pilot MD diagnostic descriptors: RMSD/RMSF/Rg/SASA and interaction persistence</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Results figure</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5</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Integrated docking-MD ranking and evidence matrix</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Results figure</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6</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Integrated mechanistic hypothesis and evidence boundary</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or Supplementary depending journal space</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7</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GNN-assisted prioritization and applicability-domain interpretation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Main Results figure</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S1</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Molecular-GNN visualization / atom saliency</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Supplementary</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 S2</w:t>
            </w:r>
          </w:p>
        </w:tc>
        <w:tc>
          <w:tcPr>
            <w:tcW w:type="dxa" w:w="61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Molecular docking-GNN validation</w:t>
            </w:r>
          </w:p>
        </w:tc>
        <w:tc>
          <w:tcPr>
            <w:tcW w:type="dxa" w:w="244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Supplementary after Stage 9E mapping correction</w:t>
            </w:r>
          </w:p>
        </w:tc>
      </w:tr>
    </w:tbl>
    <w:p/>
    <w:p>
      <w:pPr>
        <w:jc w:val="center"/>
      </w:pPr>
      <w:r>
        <w:drawing>
          <wp:inline xmlns:a="http://schemas.openxmlformats.org/drawingml/2006/main" xmlns:pic="http://schemas.openxmlformats.org/drawingml/2006/picture">
            <wp:extent cx="6492240" cy="3653826"/>
            <wp:docPr id="2" name="Picture 2"/>
            <wp:cNvGraphicFramePr>
              <a:graphicFrameLocks noChangeAspect="1"/>
            </wp:cNvGraphicFramePr>
            <a:graphic>
              <a:graphicData uri="http://schemas.openxmlformats.org/drawingml/2006/picture">
                <pic:pic>
                  <pic:nvPicPr>
                    <pic:cNvPr id="0" name="ligand_based_gnn_architecture_overview.png"/>
                    <pic:cNvPicPr/>
                  </pic:nvPicPr>
                  <pic:blipFill>
                    <a:blip r:embed="rId10"/>
                    <a:stretch>
                      <a:fillRect/>
                    </a:stretch>
                  </pic:blipFill>
                  <pic:spPr>
                    <a:xfrm>
                      <a:off x="0" y="0"/>
                      <a:ext cx="6492240" cy="3653826"/>
                    </a:xfrm>
                    <a:prstGeom prst="rect"/>
                  </pic:spPr>
                </pic:pic>
              </a:graphicData>
            </a:graphic>
          </wp:inline>
        </w:drawing>
      </w:r>
    </w:p>
    <w:p>
      <w:pPr>
        <w:spacing w:before="60" w:after="180"/>
        <w:jc w:val="center"/>
      </w:pPr>
      <w:r>
        <w:rPr>
          <w:rFonts w:ascii="Arial" w:hAnsi="Arial" w:eastAsia="Arial"/>
          <w:i/>
          <w:color w:val="444444"/>
          <w:sz w:val="18"/>
        </w:rPr>
        <w:t>Figure 2. Ligand-based GNN architecture for BCL-2 prioritization. This figure should be placed in the Methods section to make the GNN architecture reproducible.</w:t>
      </w:r>
    </w:p>
    <w:p>
      <w:pPr>
        <w:pStyle w:val="Heading1"/>
      </w:pPr>
      <w:r>
        <w:t>3. Rancangan tabel utama</w:t>
      </w:r>
    </w:p>
    <w:p>
      <w:pPr>
        <w:spacing w:before="120" w:after="80"/>
      </w:pPr>
      <w:r>
        <w:rPr>
          <w:rFonts w:ascii="Arial" w:hAnsi="Arial" w:eastAsia="Arial"/>
          <w:b/>
          <w:sz w:val="20"/>
        </w:rPr>
        <w:t>Table 4. Proposed main tables for the manuscript</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tcBorders>
              <w:top w:sz="4" w:val="single" w:color="B7C9D9"/>
              <w:left w:sz="4" w:val="single" w:color="B7C9D9"/>
              <w:bottom w:sz="4" w:val="single" w:color="B7C9D9"/>
              <w:right w:sz="4" w:val="single" w:color="B7C9D9"/>
            </w:tcBorders>
            <w:shd w:fill="FFF2CC"/>
          </w:tcPr>
          <w:p>
            <w:pPr>
              <w:spacing w:after="40" w:before="0"/>
            </w:pPr>
            <w:r>
              <w:rPr>
                <w:rFonts w:ascii="Arial" w:hAnsi="Arial" w:eastAsia="Arial"/>
                <w:b/>
                <w:color w:val="0F2D52"/>
                <w:sz w:val="17"/>
              </w:rPr>
              <w:t>Main table</w:t>
            </w:r>
          </w:p>
        </w:tc>
        <w:tc>
          <w:tcPr>
            <w:tcW w:type="dxa" w:w="5760"/>
            <w:vAlign w:val="top"/>
            <w:tcBorders>
              <w:top w:sz="4" w:val="single" w:color="B7C9D9"/>
              <w:left w:sz="4" w:val="single" w:color="B7C9D9"/>
              <w:bottom w:sz="4" w:val="single" w:color="B7C9D9"/>
              <w:right w:sz="4" w:val="single" w:color="B7C9D9"/>
            </w:tcBorders>
            <w:shd w:fill="FFF2CC"/>
          </w:tcPr>
          <w:p>
            <w:pPr>
              <w:spacing w:after="40" w:before="0"/>
            </w:pPr>
            <w:r>
              <w:rPr>
                <w:rFonts w:ascii="Arial" w:hAnsi="Arial" w:eastAsia="Arial"/>
                <w:b/>
                <w:color w:val="0F2D52"/>
                <w:sz w:val="17"/>
              </w:rPr>
              <w:t>Isi</w:t>
            </w:r>
          </w:p>
        </w:tc>
        <w:tc>
          <w:tcPr>
            <w:tcW w:type="dxa" w:w="2880"/>
            <w:vAlign w:val="top"/>
            <w:tcBorders>
              <w:top w:sz="4" w:val="single" w:color="B7C9D9"/>
              <w:left w:sz="4" w:val="single" w:color="B7C9D9"/>
              <w:bottom w:sz="4" w:val="single" w:color="B7C9D9"/>
              <w:right w:sz="4" w:val="single" w:color="B7C9D9"/>
            </w:tcBorders>
            <w:shd w:fill="FFF2CC"/>
          </w:tcPr>
          <w:p>
            <w:pPr>
              <w:spacing w:after="40" w:before="0"/>
            </w:pPr>
            <w:r>
              <w:rPr>
                <w:rFonts w:ascii="Arial" w:hAnsi="Arial" w:eastAsia="Arial"/>
                <w:b/>
                <w:color w:val="0F2D52"/>
                <w:sz w:val="17"/>
              </w:rPr>
              <w:t>Sumber output</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1</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Ligands, roles, source, and computational status</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Ligand curation outputs</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2</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Docking regions, selected affinity, valid pose count, and target contact residues</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Docking ranking tables / Table 16</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3</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Pilot MD summary descriptors for Apo, Macaflavone I, Macaflavone II, and Venetoclax</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Stage 7D / Table 16</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4</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Integrated docking-MD interpretation and evidence class</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16</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5</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GNN model performance versus Morgan RF and Morgan Ridge baselines</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Stage 9C / Table 30</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6</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External GNN prediction and applicability-domain class</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Stage 9C / Table 28</w:t>
            </w:r>
          </w:p>
        </w:tc>
      </w:tr>
      <w:tr>
        <w:tc>
          <w:tcPr>
            <w:tcW w:type="dxa" w:w="144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 7</w:t>
            </w:r>
          </w:p>
        </w:tc>
        <w:tc>
          <w:tcPr>
            <w:tcW w:type="dxa" w:w="57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Claim-boundary and safe interpretation matrix</w:t>
            </w:r>
          </w:p>
        </w:tc>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Stage 9C/9E claim boundary tables</w:t>
            </w:r>
          </w:p>
        </w:tc>
      </w:tr>
    </w:tbl>
    <w:p/>
    <w:p>
      <w:pPr>
        <w:spacing w:before="120" w:after="80"/>
      </w:pPr>
      <w:r>
        <w:rPr>
          <w:rFonts w:ascii="Arial" w:hAnsi="Arial" w:eastAsia="Arial"/>
          <w:b/>
          <w:sz w:val="20"/>
        </w:rPr>
        <w:t>Table 5. Selected docking and pilot MD evidence to retain in main article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168"/>
            <w:vAlign w:val="top"/>
            <w:tcBorders>
              <w:top w:sz="4" w:val="single" w:color="B7C9D9"/>
              <w:left w:sz="4" w:val="single" w:color="B7C9D9"/>
              <w:bottom w:sz="4" w:val="single" w:color="B7C9D9"/>
              <w:right w:sz="4" w:val="single" w:color="B7C9D9"/>
            </w:tcBorders>
            <w:shd w:fill="E2F0D9"/>
          </w:tcPr>
          <w:p>
            <w:pPr>
              <w:spacing w:after="40" w:before="0"/>
            </w:pPr>
            <w:r>
              <w:rPr>
                <w:rFonts w:ascii="Arial" w:hAnsi="Arial" w:eastAsia="Arial"/>
                <w:b/>
                <w:color w:val="0F2D52"/>
                <w:sz w:val="17"/>
              </w:rPr>
              <w:t>System</w:t>
            </w:r>
          </w:p>
        </w:tc>
        <w:tc>
          <w:tcPr>
            <w:tcW w:type="dxa" w:w="2160"/>
            <w:vAlign w:val="top"/>
            <w:tcBorders>
              <w:top w:sz="4" w:val="single" w:color="B7C9D9"/>
              <w:left w:sz="4" w:val="single" w:color="B7C9D9"/>
              <w:bottom w:sz="4" w:val="single" w:color="B7C9D9"/>
              <w:right w:sz="4" w:val="single" w:color="B7C9D9"/>
            </w:tcBorders>
            <w:shd w:fill="E2F0D9"/>
          </w:tcPr>
          <w:p>
            <w:pPr>
              <w:spacing w:after="40" w:before="0"/>
            </w:pPr>
            <w:r>
              <w:rPr>
                <w:rFonts w:ascii="Arial" w:hAnsi="Arial" w:eastAsia="Arial"/>
                <w:b/>
                <w:color w:val="0F2D52"/>
                <w:sz w:val="17"/>
              </w:rPr>
              <w:t>Docking affinity (kcal/mol)</w:t>
            </w:r>
          </w:p>
        </w:tc>
        <w:tc>
          <w:tcPr>
            <w:tcW w:type="dxa" w:w="1872"/>
            <w:vAlign w:val="top"/>
            <w:tcBorders>
              <w:top w:sz="4" w:val="single" w:color="B7C9D9"/>
              <w:left w:sz="4" w:val="single" w:color="B7C9D9"/>
              <w:bottom w:sz="4" w:val="single" w:color="B7C9D9"/>
              <w:right w:sz="4" w:val="single" w:color="B7C9D9"/>
            </w:tcBorders>
            <w:shd w:fill="E2F0D9"/>
          </w:tcPr>
          <w:p>
            <w:pPr>
              <w:spacing w:after="40" w:before="0"/>
            </w:pPr>
            <w:r>
              <w:rPr>
                <w:rFonts w:ascii="Arial" w:hAnsi="Arial" w:eastAsia="Arial"/>
                <w:b/>
                <w:color w:val="0F2D52"/>
                <w:sz w:val="17"/>
              </w:rPr>
              <w:t>MD interaction rank</w:t>
            </w:r>
          </w:p>
        </w:tc>
        <w:tc>
          <w:tcPr>
            <w:tcW w:type="dxa" w:w="3456"/>
            <w:vAlign w:val="top"/>
            <w:tcBorders>
              <w:top w:sz="4" w:val="single" w:color="B7C9D9"/>
              <w:left w:sz="4" w:val="single" w:color="B7C9D9"/>
              <w:bottom w:sz="4" w:val="single" w:color="B7C9D9"/>
              <w:right w:sz="4" w:val="single" w:color="B7C9D9"/>
            </w:tcBorders>
            <w:shd w:fill="E2F0D9"/>
          </w:tcPr>
          <w:p>
            <w:pPr>
              <w:spacing w:after="40" w:before="0"/>
            </w:pPr>
            <w:r>
              <w:rPr>
                <w:rFonts w:ascii="Arial" w:hAnsi="Arial" w:eastAsia="Arial"/>
                <w:b/>
                <w:color w:val="0F2D52"/>
                <w:sz w:val="17"/>
              </w:rPr>
              <w:t>Interpretation</w:t>
            </w:r>
          </w:p>
        </w:tc>
      </w:tr>
      <w:tr>
        <w:tc>
          <w:tcPr>
            <w:tcW w:type="dxa" w:w="316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Maca_I_canonical_groove</w:t>
            </w:r>
          </w:p>
        </w:tc>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-7.479</w:t>
            </w:r>
          </w:p>
        </w:tc>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3</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Stable but lower-ranked Macaflavone candidate; short-timescale evidence only</w:t>
            </w:r>
          </w:p>
        </w:tc>
      </w:tr>
      <w:tr>
        <w:tc>
          <w:tcPr>
            <w:tcW w:type="dxa" w:w="316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Maca_II_canonical_groove</w:t>
            </w:r>
          </w:p>
        </w:tc>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-7.540</w:t>
            </w:r>
          </w:p>
        </w:tc>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1</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Prioritized Macaflavone candidate from docking + 0.2 ns pilot MD</w:t>
            </w:r>
          </w:p>
        </w:tc>
      </w:tr>
      <w:tr>
        <w:tc>
          <w:tcPr>
            <w:tcW w:type="dxa" w:w="316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Venetoclax_canonical_control</w:t>
            </w:r>
          </w:p>
        </w:tc>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-9.093</w:t>
            </w:r>
          </w:p>
        </w:tc>
        <w:tc>
          <w:tcPr>
            <w:tcW w:type="dxa" w:w="187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2</w:t>
            </w:r>
          </w:p>
        </w:tc>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Canonical-groove reference control</w:t>
            </w:r>
          </w:p>
        </w:tc>
      </w:tr>
    </w:tbl>
    <w:p/>
    <w:p>
      <w:pPr>
        <w:spacing w:before="120" w:after="80"/>
      </w:pPr>
      <w:r>
        <w:rPr>
          <w:rFonts w:ascii="Arial" w:hAnsi="Arial" w:eastAsia="Arial"/>
          <w:b/>
          <w:sz w:val="20"/>
        </w:rPr>
        <w:t>Table 6. GNN model and external prediction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Borders>
              <w:top w:sz="4" w:val="single" w:color="B7C9D9"/>
              <w:left w:sz="4" w:val="single" w:color="B7C9D9"/>
              <w:bottom w:sz="4" w:val="single" w:color="B7C9D9"/>
              <w:right w:sz="4" w:val="single" w:color="B7C9D9"/>
            </w:tcBorders>
            <w:shd w:fill="D9EAD3"/>
          </w:tcPr>
          <w:p>
            <w:pPr>
              <w:spacing w:after="40" w:before="0"/>
            </w:pPr>
            <w:r>
              <w:rPr>
                <w:rFonts w:ascii="Arial" w:hAnsi="Arial" w:eastAsia="Arial"/>
                <w:b/>
                <w:color w:val="0F2D52"/>
                <w:sz w:val="17"/>
              </w:rPr>
              <w:t>Item</w:t>
            </w:r>
          </w:p>
        </w:tc>
        <w:tc>
          <w:tcPr>
            <w:tcW w:type="dxa" w:w="2736"/>
            <w:vAlign w:val="top"/>
            <w:tcBorders>
              <w:top w:sz="4" w:val="single" w:color="B7C9D9"/>
              <w:left w:sz="4" w:val="single" w:color="B7C9D9"/>
              <w:bottom w:sz="4" w:val="single" w:color="B7C9D9"/>
              <w:right w:sz="4" w:val="single" w:color="B7C9D9"/>
            </w:tcBorders>
            <w:shd w:fill="D9EAD3"/>
          </w:tcPr>
          <w:p>
            <w:pPr>
              <w:spacing w:after="40" w:before="0"/>
            </w:pPr>
            <w:r>
              <w:rPr>
                <w:rFonts w:ascii="Arial" w:hAnsi="Arial" w:eastAsia="Arial"/>
                <w:b/>
                <w:color w:val="0F2D52"/>
                <w:sz w:val="17"/>
              </w:rPr>
              <w:t>Value</w:t>
            </w:r>
          </w:p>
        </w:tc>
        <w:tc>
          <w:tcPr>
            <w:tcW w:type="dxa" w:w="3888"/>
            <w:vAlign w:val="top"/>
            <w:tcBorders>
              <w:top w:sz="4" w:val="single" w:color="B7C9D9"/>
              <w:left w:sz="4" w:val="single" w:color="B7C9D9"/>
              <w:bottom w:sz="4" w:val="single" w:color="B7C9D9"/>
              <w:right w:sz="4" w:val="single" w:color="B7C9D9"/>
            </w:tcBorders>
            <w:shd w:fill="D9EAD3"/>
          </w:tcPr>
          <w:p>
            <w:pPr>
              <w:spacing w:after="40" w:before="0"/>
            </w:pPr>
            <w:r>
              <w:rPr>
                <w:rFonts w:ascii="Arial" w:hAnsi="Arial" w:eastAsia="Arial"/>
                <w:b/>
                <w:color w:val="0F2D52"/>
                <w:sz w:val="17"/>
              </w:rPr>
              <w:t>Interpretation</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RDKit-valid ChEMBL BCL-2 molecules</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3,173</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Adequate for auxiliary ligand-based model</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Train / validation / test split</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2,221 / 475 / 477</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Scaffold split used to reduce analogue leakage</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GIN-GNN test MAE / RMSE / R2 / Spearman</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0.600 / 0.856 / 0.683 / 0.827</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Acceptable model performance for prioritization</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Best baseline by test MAE</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Morgan_RF; MAE 0.514</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Do not claim GNN outperformed all baselines</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Venetoclax model-consensus pActivity / AD</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9.295 / high</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Reference control behaves as expected</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Macaflavone I model-consensus pActivity / AD</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6.193 / low</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Auxiliary low-domain signal only</w:t>
            </w:r>
          </w:p>
        </w:tc>
      </w:tr>
      <w:tr>
        <w:tc>
          <w:tcPr>
            <w:tcW w:type="dxa" w:w="34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Macaflavone II model-consensus pActivity / AD</w:t>
            </w:r>
          </w:p>
        </w:tc>
        <w:tc>
          <w:tcPr>
            <w:tcW w:type="dxa" w:w="273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5.755 / low</w:t>
            </w:r>
          </w:p>
        </w:tc>
        <w:tc>
          <w:tcPr>
            <w:tcW w:type="dxa" w:w="388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Auxiliary low-domain signal only</w:t>
            </w:r>
          </w:p>
        </w:tc>
      </w:tr>
    </w:tbl>
    <w:p/>
    <w:p>
      <w:pPr>
        <w:spacing w:before="120" w:after="80"/>
      </w:pPr>
      <w:r>
        <w:rPr>
          <w:rFonts w:ascii="Arial" w:hAnsi="Arial" w:eastAsia="Arial"/>
          <w:b/>
          <w:sz w:val="20"/>
        </w:rPr>
        <w:t>Table 7. Supplementary material allocation</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tcBorders>
              <w:top w:sz="4" w:val="single" w:color="B7C9D9"/>
              <w:left w:sz="4" w:val="single" w:color="B7C9D9"/>
              <w:bottom w:sz="4" w:val="single" w:color="B7C9D9"/>
              <w:right w:sz="4" w:val="single" w:color="B7C9D9"/>
            </w:tcBorders>
            <w:shd w:fill="EADCF8"/>
          </w:tcPr>
          <w:p>
            <w:pPr>
              <w:spacing w:after="40" w:before="0"/>
            </w:pPr>
            <w:r>
              <w:rPr>
                <w:rFonts w:ascii="Arial" w:hAnsi="Arial" w:eastAsia="Arial"/>
                <w:b/>
                <w:color w:val="0F2D52"/>
                <w:sz w:val="17"/>
              </w:rPr>
              <w:t>Supplementary item</w:t>
            </w:r>
          </w:p>
        </w:tc>
        <w:tc>
          <w:tcPr>
            <w:tcW w:type="dxa" w:w="5616"/>
            <w:vAlign w:val="top"/>
            <w:tcBorders>
              <w:top w:sz="4" w:val="single" w:color="B7C9D9"/>
              <w:left w:sz="4" w:val="single" w:color="B7C9D9"/>
              <w:bottom w:sz="4" w:val="single" w:color="B7C9D9"/>
              <w:right w:sz="4" w:val="single" w:color="B7C9D9"/>
            </w:tcBorders>
            <w:shd w:fill="EADCF8"/>
          </w:tcPr>
          <w:p>
            <w:pPr>
              <w:spacing w:after="40" w:before="0"/>
            </w:pPr>
            <w:r>
              <w:rPr>
                <w:rFonts w:ascii="Arial" w:hAnsi="Arial" w:eastAsia="Arial"/>
                <w:b/>
                <w:color w:val="0F2D52"/>
                <w:sz w:val="17"/>
              </w:rPr>
              <w:t>Isi yang disarankan</w:t>
            </w:r>
          </w:p>
        </w:tc>
        <w:tc>
          <w:tcPr>
            <w:tcW w:type="dxa" w:w="2592"/>
            <w:vAlign w:val="top"/>
            <w:tcBorders>
              <w:top w:sz="4" w:val="single" w:color="B7C9D9"/>
              <w:left w:sz="4" w:val="single" w:color="B7C9D9"/>
              <w:bottom w:sz="4" w:val="single" w:color="B7C9D9"/>
              <w:right w:sz="4" w:val="single" w:color="B7C9D9"/>
            </w:tcBorders>
            <w:shd w:fill="EADCF8"/>
          </w:tcPr>
          <w:p>
            <w:pPr>
              <w:spacing w:after="40" w:before="0"/>
            </w:pPr>
            <w:r>
              <w:rPr>
                <w:rFonts w:ascii="Arial" w:hAnsi="Arial" w:eastAsia="Arial"/>
                <w:b/>
                <w:color w:val="0F2D52"/>
                <w:sz w:val="17"/>
              </w:rPr>
              <w:t>Catatan</w:t>
            </w:r>
          </w:p>
        </w:tc>
      </w:tr>
      <w:tr>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Tables S1-S10</w:t>
            </w:r>
          </w:p>
        </w:tc>
        <w:tc>
          <w:tcPr>
            <w:tcW w:type="dxa" w:w="561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Ligand curation, structure files, docking input/output manifests</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Reproducibility</w:t>
            </w:r>
          </w:p>
        </w:tc>
      </w:tr>
      <w:tr>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Tables S11-S20</w:t>
            </w:r>
          </w:p>
        </w:tc>
        <w:tc>
          <w:tcPr>
            <w:tcW w:type="dxa" w:w="561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Docking pose-level results and contact maps</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Keep full data outside main text</w:t>
            </w:r>
          </w:p>
        </w:tc>
      </w:tr>
      <w:tr>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Tables S21-S30</w:t>
            </w:r>
          </w:p>
        </w:tc>
        <w:tc>
          <w:tcPr>
            <w:tcW w:type="dxa" w:w="561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MD QC, trajectory metrics, interaction persistence descriptors</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Support pilot MD claims</w:t>
            </w:r>
          </w:p>
        </w:tc>
      </w:tr>
      <w:tr>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Tables S31-S41</w:t>
            </w:r>
          </w:p>
        </w:tc>
        <w:tc>
          <w:tcPr>
            <w:tcW w:type="dxa" w:w="561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GNN dataset, model performance, external prediction, AD, atom saliency, claim boundary</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Stage 9C-D-E outputs; clean Stage 9E first</w:t>
            </w:r>
          </w:p>
        </w:tc>
      </w:tr>
      <w:tr>
        <w:tc>
          <w:tcPr>
            <w:tcW w:type="dxa" w:w="216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Figures S1-S2</w:t>
            </w:r>
          </w:p>
        </w:tc>
        <w:tc>
          <w:tcPr>
            <w:tcW w:type="dxa" w:w="561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Molecular-GNN visualization and molecular docking-GNN validation</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Use after correcting Stage 9E duplicate/mapping issue</w:t>
            </w:r>
          </w:p>
        </w:tc>
      </w:tr>
    </w:tbl>
    <w:p/>
    <w:p>
      <w:pPr>
        <w:pStyle w:val="Heading1"/>
      </w:pPr>
      <w:r>
        <w:t>4. Methods subsection yang harus dimasukkan</w:t>
      </w:r>
    </w:p>
    <w:p>
      <w:pPr>
        <w:pStyle w:val="Heading2"/>
      </w:pPr>
      <w:r>
        <w:t>2.x Ligand-based graph neural network modeling</w:t>
      </w:r>
    </w:p>
    <w:p>
      <w:pPr>
        <w:jc w:val="both"/>
      </w:pPr>
      <w:r>
        <w:t>A ligand-based graph neural network was implemented as an auxiliary bioactivity-prioritization layer for BCL-2 ligand candidates. The GNN was not designed as a protein-ligand pose-aware model, but as a molecular graph regression model trained to estimate BCL-2 activity tendency from ligand structure.</w:t>
      </w:r>
    </w:p>
    <w:p>
      <w:pPr>
        <w:jc w:val="both"/>
      </w:pPr>
      <w:r>
        <w:t>Curated BCL-2 activity records were obtained from ChEMBL and filtered to retain compounds with valid canonical SMILES and quantitative IC50, Ki, or Kd values reported in nM. Activity values were converted to pActivity using pActivity = 9 - log10(activity in nM). Molecules that failed RDKit parsing were removed, and duplicate molecular structures were aggregated using the median pActivity value.</w:t>
      </w:r>
    </w:p>
    <w:p>
      <w:pPr>
        <w:jc w:val="both"/>
      </w:pPr>
      <w:r>
        <w:t>Each ligand was represented as an atom-bond graph, where atoms were encoded as nodes and covalent bonds as edges. Atom-level input features included atomic number, degree, formal charge, hybridization state, aromaticity, ring membership, total hydrogen count, and scaled atomic mass. Bond connectivity was represented using an adjacency matrix with self-loops.</w:t>
      </w:r>
    </w:p>
    <w:p>
      <w:pPr>
        <w:jc w:val="both"/>
      </w:pPr>
      <w:r>
        <w:t>The GNN architecture followed a GIN-like regression design. Atom features were projected into a hidden representation with 128 hidden units. Three message-passing layers were applied, followed by masked mean pooling and a regression head predicting pActivity. The model was trained using AdamW, Huber loss, maximum 200 epochs, and early stopping based on validation MAE.</w:t>
      </w:r>
    </w:p>
    <w:p>
      <w:pPr>
        <w:jc w:val="both"/>
      </w:pPr>
      <w:r>
        <w:t>Because the GNN model was ligand-based rather than protein-ligand complex-based, its output was interpreted as an auxiliary molecular bioactivity tendency rather than direct validation of docking pose or binding mechanism.</w:t>
      </w:r>
    </w:p>
    <w:p>
      <w:pPr>
        <w:spacing w:before="120" w:after="80"/>
      </w:pPr>
      <w:r>
        <w:rPr>
          <w:rFonts w:ascii="Arial" w:hAnsi="Arial" w:eastAsia="Arial"/>
          <w:b/>
          <w:sz w:val="20"/>
        </w:rPr>
        <w:t>Table 8. GNN architecture settings for Methods</w:t>
      </w:r>
    </w:p>
    <w:tbl>
      <w:tblPr>
        <w:tblStyle w:val="TableGrid"/>
        <w:tblW w:type="auto" w:w="0"/>
        <w:jc w:val="center"/>
        <w:tblLook w:firstColumn="1" w:firstRow="1" w:lastColumn="0" w:lastRow="0" w:noHBand="0" w:noVBand="1" w:val="04A0"/>
      </w:tblPr>
      <w:tblGrid>
        <w:gridCol w:w="5184"/>
        <w:gridCol w:w="5184"/>
      </w:tblGrid>
      <w:tr>
        <w:tc>
          <w:tcPr>
            <w:tcW w:type="dxa" w:w="3024"/>
            <w:vAlign w:val="top"/>
            <w:tcBorders>
              <w:top w:sz="4" w:val="single" w:color="B7C9D9"/>
              <w:left w:sz="4" w:val="single" w:color="B7C9D9"/>
              <w:bottom w:sz="4" w:val="single" w:color="B7C9D9"/>
              <w:right w:sz="4" w:val="single" w:color="B7C9D9"/>
            </w:tcBorders>
            <w:shd w:fill="E7F3FE"/>
          </w:tcPr>
          <w:p>
            <w:pPr>
              <w:spacing w:after="40" w:before="0"/>
            </w:pPr>
            <w:r>
              <w:rPr>
                <w:rFonts w:ascii="Arial" w:hAnsi="Arial" w:eastAsia="Arial"/>
                <w:b/>
                <w:color w:val="0F2D52"/>
                <w:sz w:val="17"/>
              </w:rPr>
              <w:t>Component</w:t>
            </w:r>
          </w:p>
        </w:tc>
        <w:tc>
          <w:tcPr>
            <w:tcW w:type="dxa" w:w="7056"/>
            <w:vAlign w:val="top"/>
            <w:tcBorders>
              <w:top w:sz="4" w:val="single" w:color="B7C9D9"/>
              <w:left w:sz="4" w:val="single" w:color="B7C9D9"/>
              <w:bottom w:sz="4" w:val="single" w:color="B7C9D9"/>
              <w:right w:sz="4" w:val="single" w:color="B7C9D9"/>
            </w:tcBorders>
            <w:shd w:fill="E7F3FE"/>
          </w:tcPr>
          <w:p>
            <w:pPr>
              <w:spacing w:after="40" w:before="0"/>
            </w:pPr>
            <w:r>
              <w:rPr>
                <w:rFonts w:ascii="Arial" w:hAnsi="Arial" w:eastAsia="Arial"/>
                <w:b/>
                <w:color w:val="0F2D52"/>
                <w:sz w:val="17"/>
              </w:rPr>
              <w:t>Setting</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Model type</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GIN-like ligand-based graph regression</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Input</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RDKit molecular graph from SMILES</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Node features</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Atomic number, degree, formal charge, hybridization, aromaticity, ring membership, H count, scaled mass</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Edge representation</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Adjacency matrix with self-loops</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Hidden dimension</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128</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Message-passing layers</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3</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Dropout</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0.20</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Pooling</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Masked mean pooling</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Output</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Predicted pActivity</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Loss / optimizer</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Huber loss / AdamW</w:t>
            </w:r>
          </w:p>
        </w:tc>
      </w:tr>
      <w:tr>
        <w:tc>
          <w:tcPr>
            <w:tcW w:type="dxa" w:w="3024"/>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Baselines</w:t>
            </w:r>
          </w:p>
        </w:tc>
        <w:tc>
          <w:tcPr>
            <w:tcW w:type="dxa" w:w="7056"/>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Morgan Random Forest and Morgan Ridge</w:t>
            </w:r>
          </w:p>
        </w:tc>
      </w:tr>
    </w:tbl>
    <w:p/>
    <w:p>
      <w:pPr>
        <w:pStyle w:val="Heading1"/>
      </w:pPr>
      <w:r>
        <w:t>5. Audit kelayakan dan kekurangan</w:t>
      </w:r>
    </w:p>
    <w:p>
      <w:pPr>
        <w:spacing w:before="120" w:after="80"/>
      </w:pPr>
      <w:r>
        <w:rPr>
          <w:rFonts w:ascii="Arial" w:hAnsi="Arial" w:eastAsia="Arial"/>
          <w:b/>
          <w:sz w:val="20"/>
        </w:rPr>
        <w:t>Table 9. Article readiness audit</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tcBorders>
              <w:top w:sz="4" w:val="single" w:color="B7C9D9"/>
              <w:left w:sz="4" w:val="single" w:color="B7C9D9"/>
              <w:bottom w:sz="4" w:val="single" w:color="B7C9D9"/>
              <w:right w:sz="4" w:val="single" w:color="B7C9D9"/>
            </w:tcBorders>
            <w:shd w:fill="FCE4D6"/>
          </w:tcPr>
          <w:p>
            <w:pPr>
              <w:spacing w:after="40" w:before="0"/>
            </w:pPr>
            <w:r>
              <w:rPr>
                <w:rFonts w:ascii="Arial" w:hAnsi="Arial" w:eastAsia="Arial"/>
                <w:b/>
                <w:color w:val="0F2D52"/>
                <w:sz w:val="17"/>
              </w:rPr>
              <w:t>Aspek</w:t>
            </w:r>
          </w:p>
        </w:tc>
        <w:tc>
          <w:tcPr>
            <w:tcW w:type="dxa" w:w="2592"/>
            <w:vAlign w:val="top"/>
            <w:tcBorders>
              <w:top w:sz="4" w:val="single" w:color="B7C9D9"/>
              <w:left w:sz="4" w:val="single" w:color="B7C9D9"/>
              <w:bottom w:sz="4" w:val="single" w:color="B7C9D9"/>
              <w:right w:sz="4" w:val="single" w:color="B7C9D9"/>
            </w:tcBorders>
            <w:shd w:fill="FCE4D6"/>
          </w:tcPr>
          <w:p>
            <w:pPr>
              <w:spacing w:after="40" w:before="0"/>
            </w:pPr>
            <w:r>
              <w:rPr>
                <w:rFonts w:ascii="Arial" w:hAnsi="Arial" w:eastAsia="Arial"/>
                <w:b/>
                <w:color w:val="0F2D52"/>
                <w:sz w:val="17"/>
              </w:rPr>
              <w:t>Status</w:t>
            </w:r>
          </w:p>
        </w:tc>
        <w:tc>
          <w:tcPr>
            <w:tcW w:type="dxa" w:w="4608"/>
            <w:vAlign w:val="top"/>
            <w:tcBorders>
              <w:top w:sz="4" w:val="single" w:color="B7C9D9"/>
              <w:left w:sz="4" w:val="single" w:color="B7C9D9"/>
              <w:bottom w:sz="4" w:val="single" w:color="B7C9D9"/>
              <w:right w:sz="4" w:val="single" w:color="B7C9D9"/>
            </w:tcBorders>
            <w:shd w:fill="FCE4D6"/>
          </w:tcPr>
          <w:p>
            <w:pPr>
              <w:spacing w:after="40" w:before="0"/>
            </w:pPr>
            <w:r>
              <w:rPr>
                <w:rFonts w:ascii="Arial" w:hAnsi="Arial" w:eastAsia="Arial"/>
                <w:b/>
                <w:color w:val="0F2D52"/>
                <w:sz w:val="17"/>
              </w:rPr>
              <w:t>Perbaikan sebelum submit</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Docking and control benchmarking</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Cukup untuk artikel komputasi</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Pastikan parameter grid, exhaustiveness, valid pose criteria, dan control comparison dijelaskan rinci</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Pilot MD</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Cukup sebagai pilot evidence, tetapi belum kuat untuk mekanisme</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Tambahkan MM-PBSA/MM-GBSA atau longer MD jika menargetkan jurnal lebih kuat</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GNN</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Cukup sebagai auxiliary layer</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Jangan klaim GNN superior karena Morgan_RF memiliki MAE lebih baik</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Applicability domain</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Sudah sangat baik untuk claim control</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Tekankan Macaflavone I/II low-domain sehingga interpretasi konservatif</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Molecular docking-GNN validation</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Menarik tetapi perlu perbaikan</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Perbaiki Stage 9E Table 33: duplikasi dan mapping ligand key Macaflavone I/II</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Figures</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Sudah ada desain workflow dan architecture</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Perlu cek ejaan/keterbacaan final sebelum submit karena gambar AI dapat memiliki teks kecil yang keliru</w:t>
            </w:r>
          </w:p>
        </w:tc>
      </w:tr>
      <w:tr>
        <w:tc>
          <w:tcPr>
            <w:tcW w:type="dxa" w:w="2880"/>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Supplementary information</w:t>
            </w:r>
          </w:p>
        </w:tc>
        <w:tc>
          <w:tcPr>
            <w:tcW w:type="dxa" w:w="2592"/>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Cukup kaya</w:t>
            </w:r>
          </w:p>
        </w:tc>
        <w:tc>
          <w:tcPr>
            <w:tcW w:type="dxa" w:w="4608"/>
            <w:vAlign w:val="top"/>
            <w:tcBorders>
              <w:top w:sz="4" w:val="single" w:color="B7C9D9"/>
              <w:left w:sz="4" w:val="single" w:color="B7C9D9"/>
              <w:bottom w:sz="4" w:val="single" w:color="B7C9D9"/>
              <w:right w:sz="4" w:val="single" w:color="B7C9D9"/>
            </w:tcBorders>
          </w:tcPr>
          <w:p>
            <w:pPr>
              <w:spacing w:after="40" w:before="0"/>
            </w:pPr>
            <w:r>
              <w:rPr>
                <w:rFonts w:ascii="Arial" w:hAnsi="Arial" w:eastAsia="Arial"/>
                <w:sz w:val="17"/>
              </w:rPr>
              <w:t>Susun ulang agar tidak terlalu banyak file mentah; gunakan manifest dan table index</w:t>
            </w:r>
          </w:p>
        </w:tc>
      </w:tr>
    </w:tbl>
    <w:p/>
    <w:tbl>
      <w:tblPr>
        <w:tblStyle w:val="TableGrid"/>
        <w:tblW w:type="auto" w:w="0"/>
        <w:jc w:val="center"/>
        <w:tblLook w:firstColumn="1" w:firstRow="1" w:lastColumn="0" w:lastRow="0" w:noHBand="0" w:noVBand="1" w:val="04A0"/>
      </w:tblPr>
      <w:tblGrid>
        <w:gridCol w:w="10368"/>
      </w:tblGrid>
      <w:tr>
        <w:tc>
          <w:tcPr>
            <w:tcW w:type="dxa" w:w="10368"/>
            <w:vAlign w:val="top"/>
            <w:tcBorders>
              <w:top w:sz="4" w:val="single" w:color="B7C9D9"/>
              <w:left w:sz="4" w:val="single" w:color="B7C9D9"/>
              <w:bottom w:sz="4" w:val="single" w:color="B7C9D9"/>
              <w:right w:sz="4" w:val="single" w:color="B7C9D9"/>
            </w:tcBorders>
            <w:shd w:fill="E2F0D9"/>
          </w:tcPr>
          <w:p>
            <w:pPr>
              <w:spacing w:after="40" w:before="0"/>
              <w:jc w:val="left"/>
            </w:pPr>
            <w:r>
              <w:rPr>
                <w:rFonts w:ascii="Arial" w:hAnsi="Arial" w:eastAsia="Arial"/>
                <w:b/>
                <w:color w:val="0B3D91"/>
                <w:sz w:val="20"/>
              </w:rPr>
              <w:t>Keputusan akhir</w:t>
              <w:br/>
            </w:r>
            <w:r>
              <w:rPr>
                <w:rFonts w:ascii="Arial" w:hAnsi="Arial" w:eastAsia="Arial"/>
                <w:sz w:val="18"/>
              </w:rPr>
              <w:t>Dokumen dan output yang ada sudah cukup untuk disusun menjadi artikel komputasi. Prioritas perbaikan adalah: (1) bersihkan Stage 9E mapping/duplikasi, (2) tempatkan GNN architecture di Methods, (3) gunakan Figure 1 sebagai workflow utama, (4) pindahkan molecular-GNN saliency ke Supplementary, dan (5) tulis semua klaim sebagai computational prioritization, bukan biological validation.</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F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4E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5F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