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201C" w14:textId="71509620" w:rsidR="00CB3EA2" w:rsidRPr="00CB3EA2" w:rsidRDefault="00CB3EA2" w:rsidP="00CB3EA2">
      <w:pPr>
        <w:pStyle w:val="Heading2"/>
        <w:spacing w:before="120" w:after="240"/>
        <w:rPr>
          <w:sz w:val="20"/>
          <w:szCs w:val="20"/>
        </w:rPr>
      </w:pPr>
      <w:r>
        <w:rPr>
          <w:sz w:val="20"/>
          <w:szCs w:val="20"/>
        </w:rPr>
        <w:t xml:space="preserve">Table S1: </w:t>
      </w:r>
      <w:r w:rsidRPr="00CB3EA2">
        <w:rPr>
          <w:sz w:val="20"/>
          <w:szCs w:val="20"/>
        </w:rPr>
        <w:t xml:space="preserve">Rep78 Partitions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2410"/>
        <w:gridCol w:w="1559"/>
        <w:gridCol w:w="3770"/>
      </w:tblGrid>
      <w:tr w:rsidR="00CB3EA2" w:rsidRPr="00CB3EA2" w14:paraId="78B96E80" w14:textId="77777777" w:rsidTr="00CB3EA2">
        <w:tc>
          <w:tcPr>
            <w:tcW w:w="705" w:type="pct"/>
            <w:hideMark/>
          </w:tcPr>
          <w:p w14:paraId="09C9FC53" w14:textId="77777777" w:rsidR="00CB3EA2" w:rsidRPr="00CB3EA2" w:rsidRDefault="00CB3EA2">
            <w:pPr>
              <w:jc w:val="center"/>
              <w:rPr>
                <w:b/>
                <w:bCs/>
                <w:sz w:val="20"/>
                <w:szCs w:val="20"/>
              </w:rPr>
            </w:pPr>
            <w:r w:rsidRPr="00CB3EA2">
              <w:rPr>
                <w:b/>
                <w:bCs/>
                <w:sz w:val="20"/>
                <w:szCs w:val="20"/>
              </w:rPr>
              <w:t>Partition</w:t>
            </w:r>
          </w:p>
        </w:tc>
        <w:tc>
          <w:tcPr>
            <w:tcW w:w="1337" w:type="pct"/>
            <w:hideMark/>
          </w:tcPr>
          <w:p w14:paraId="24E1AE6E" w14:textId="77777777" w:rsidR="00CB3EA2" w:rsidRPr="00CB3EA2" w:rsidRDefault="00CB3EA2">
            <w:pPr>
              <w:jc w:val="center"/>
              <w:rPr>
                <w:b/>
                <w:bCs/>
                <w:sz w:val="20"/>
                <w:szCs w:val="20"/>
              </w:rPr>
            </w:pPr>
            <w:r w:rsidRPr="00CB3EA2">
              <w:rPr>
                <w:b/>
                <w:bCs/>
                <w:sz w:val="20"/>
                <w:szCs w:val="20"/>
              </w:rPr>
              <w:t xml:space="preserve">AAV2 </w:t>
            </w:r>
            <w:proofErr w:type="spellStart"/>
            <w:r w:rsidRPr="00CB3EA2">
              <w:rPr>
                <w:b/>
                <w:bCs/>
                <w:sz w:val="20"/>
                <w:szCs w:val="20"/>
              </w:rPr>
              <w:t>nt</w:t>
            </w:r>
            <w:proofErr w:type="spellEnd"/>
            <w:r w:rsidRPr="00CB3EA2">
              <w:rPr>
                <w:b/>
                <w:bCs/>
                <w:sz w:val="20"/>
                <w:szCs w:val="20"/>
              </w:rPr>
              <w:t xml:space="preserve"> coordinates</w:t>
            </w:r>
          </w:p>
        </w:tc>
        <w:tc>
          <w:tcPr>
            <w:tcW w:w="865" w:type="pct"/>
            <w:hideMark/>
          </w:tcPr>
          <w:p w14:paraId="00ED873C" w14:textId="77777777" w:rsidR="00CB3EA2" w:rsidRPr="00CB3EA2" w:rsidRDefault="00CB3EA2">
            <w:pPr>
              <w:jc w:val="center"/>
              <w:rPr>
                <w:b/>
                <w:bCs/>
                <w:sz w:val="20"/>
                <w:szCs w:val="20"/>
              </w:rPr>
            </w:pPr>
            <w:r w:rsidRPr="00CB3EA2">
              <w:rPr>
                <w:b/>
                <w:bCs/>
                <w:sz w:val="20"/>
                <w:szCs w:val="20"/>
              </w:rPr>
              <w:t>Rep78 codons</w:t>
            </w:r>
          </w:p>
        </w:tc>
        <w:tc>
          <w:tcPr>
            <w:tcW w:w="2092" w:type="pct"/>
            <w:hideMark/>
          </w:tcPr>
          <w:p w14:paraId="3369B109" w14:textId="77777777" w:rsidR="00CB3EA2" w:rsidRPr="00CB3EA2" w:rsidRDefault="00CB3EA2">
            <w:pPr>
              <w:jc w:val="center"/>
              <w:rPr>
                <w:b/>
                <w:bCs/>
                <w:sz w:val="20"/>
                <w:szCs w:val="20"/>
              </w:rPr>
            </w:pPr>
            <w:r w:rsidRPr="00CB3EA2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CB3EA2" w:rsidRPr="00CB3EA2" w14:paraId="4101991F" w14:textId="77777777" w:rsidTr="00CB3EA2">
        <w:tc>
          <w:tcPr>
            <w:tcW w:w="705" w:type="pct"/>
            <w:hideMark/>
          </w:tcPr>
          <w:p w14:paraId="7CD10DBC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1</w:t>
            </w:r>
          </w:p>
        </w:tc>
        <w:tc>
          <w:tcPr>
            <w:tcW w:w="1337" w:type="pct"/>
            <w:hideMark/>
          </w:tcPr>
          <w:p w14:paraId="7B08D6CF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321–383</w:t>
            </w:r>
          </w:p>
        </w:tc>
        <w:tc>
          <w:tcPr>
            <w:tcW w:w="865" w:type="pct"/>
            <w:hideMark/>
          </w:tcPr>
          <w:p w14:paraId="1D25CA99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1–21</w:t>
            </w:r>
          </w:p>
        </w:tc>
        <w:tc>
          <w:tcPr>
            <w:tcW w:w="2092" w:type="pct"/>
            <w:hideMark/>
          </w:tcPr>
          <w:p w14:paraId="4DDA0BC0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N-terminal motif; moderately conserved</w:t>
            </w:r>
          </w:p>
        </w:tc>
      </w:tr>
      <w:tr w:rsidR="00CB3EA2" w:rsidRPr="00CB3EA2" w14:paraId="38CB96A1" w14:textId="77777777" w:rsidTr="00CB3EA2">
        <w:tc>
          <w:tcPr>
            <w:tcW w:w="705" w:type="pct"/>
            <w:hideMark/>
          </w:tcPr>
          <w:p w14:paraId="755C01F7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2</w:t>
            </w:r>
          </w:p>
        </w:tc>
        <w:tc>
          <w:tcPr>
            <w:tcW w:w="1337" w:type="pct"/>
            <w:hideMark/>
          </w:tcPr>
          <w:p w14:paraId="65C45A69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552–731</w:t>
            </w:r>
          </w:p>
        </w:tc>
        <w:tc>
          <w:tcPr>
            <w:tcW w:w="865" w:type="pct"/>
            <w:hideMark/>
          </w:tcPr>
          <w:p w14:paraId="38CD6DC0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78–137</w:t>
            </w:r>
          </w:p>
        </w:tc>
        <w:tc>
          <w:tcPr>
            <w:tcW w:w="2092" w:type="pct"/>
            <w:hideMark/>
          </w:tcPr>
          <w:p w14:paraId="3BF81F0A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Internal region, low indel rate</w:t>
            </w:r>
          </w:p>
        </w:tc>
      </w:tr>
      <w:tr w:rsidR="00CB3EA2" w:rsidRPr="00CB3EA2" w14:paraId="6B20B436" w14:textId="77777777" w:rsidTr="00CB3EA2">
        <w:tc>
          <w:tcPr>
            <w:tcW w:w="705" w:type="pct"/>
            <w:hideMark/>
          </w:tcPr>
          <w:p w14:paraId="755E69B7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3</w:t>
            </w:r>
          </w:p>
        </w:tc>
        <w:tc>
          <w:tcPr>
            <w:tcW w:w="1337" w:type="pct"/>
            <w:hideMark/>
          </w:tcPr>
          <w:p w14:paraId="420A7968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753–875</w:t>
            </w:r>
          </w:p>
        </w:tc>
        <w:tc>
          <w:tcPr>
            <w:tcW w:w="865" w:type="pct"/>
            <w:hideMark/>
          </w:tcPr>
          <w:p w14:paraId="26E06239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145–185</w:t>
            </w:r>
          </w:p>
        </w:tc>
        <w:tc>
          <w:tcPr>
            <w:tcW w:w="2092" w:type="pct"/>
            <w:hideMark/>
          </w:tcPr>
          <w:p w14:paraId="0924FD93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Distinct central block</w:t>
            </w:r>
          </w:p>
        </w:tc>
      </w:tr>
      <w:tr w:rsidR="00CB3EA2" w:rsidRPr="00CB3EA2" w14:paraId="2DEFE1E9" w14:textId="77777777" w:rsidTr="00CB3EA2">
        <w:tc>
          <w:tcPr>
            <w:tcW w:w="705" w:type="pct"/>
            <w:hideMark/>
          </w:tcPr>
          <w:p w14:paraId="60AE6437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4</w:t>
            </w:r>
          </w:p>
        </w:tc>
        <w:tc>
          <w:tcPr>
            <w:tcW w:w="1337" w:type="pct"/>
            <w:hideMark/>
          </w:tcPr>
          <w:p w14:paraId="1D4781B3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990–1178</w:t>
            </w:r>
          </w:p>
        </w:tc>
        <w:tc>
          <w:tcPr>
            <w:tcW w:w="865" w:type="pct"/>
            <w:hideMark/>
          </w:tcPr>
          <w:p w14:paraId="5B478332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224–286</w:t>
            </w:r>
          </w:p>
        </w:tc>
        <w:tc>
          <w:tcPr>
            <w:tcW w:w="2092" w:type="pct"/>
            <w:hideMark/>
          </w:tcPr>
          <w:p w14:paraId="618106D4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Conserved across major clades</w:t>
            </w:r>
          </w:p>
        </w:tc>
      </w:tr>
      <w:tr w:rsidR="00CB3EA2" w:rsidRPr="00CB3EA2" w14:paraId="4EE6E076" w14:textId="77777777" w:rsidTr="00CB3EA2">
        <w:tc>
          <w:tcPr>
            <w:tcW w:w="705" w:type="pct"/>
            <w:hideMark/>
          </w:tcPr>
          <w:p w14:paraId="66BA7AE3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5</w:t>
            </w:r>
          </w:p>
        </w:tc>
        <w:tc>
          <w:tcPr>
            <w:tcW w:w="1337" w:type="pct"/>
            <w:hideMark/>
          </w:tcPr>
          <w:p w14:paraId="1B094F1A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1206–1736</w:t>
            </w:r>
          </w:p>
        </w:tc>
        <w:tc>
          <w:tcPr>
            <w:tcW w:w="865" w:type="pct"/>
            <w:hideMark/>
          </w:tcPr>
          <w:p w14:paraId="4F2C5CDB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296–472</w:t>
            </w:r>
          </w:p>
        </w:tc>
        <w:tc>
          <w:tcPr>
            <w:tcW w:w="2092" w:type="pct"/>
            <w:hideMark/>
          </w:tcPr>
          <w:p w14:paraId="73F3112D" w14:textId="77777777" w:rsidR="00CB3EA2" w:rsidRPr="00CB3EA2" w:rsidRDefault="00CB3EA2">
            <w:pPr>
              <w:rPr>
                <w:sz w:val="18"/>
                <w:szCs w:val="18"/>
              </w:rPr>
            </w:pPr>
            <w:r w:rsidRPr="00CB3EA2">
              <w:rPr>
                <w:sz w:val="18"/>
                <w:szCs w:val="18"/>
              </w:rPr>
              <w:t>Long, robust region with broad coverage</w:t>
            </w:r>
          </w:p>
        </w:tc>
      </w:tr>
    </w:tbl>
    <w:p w14:paraId="038B3FA3" w14:textId="1015093D" w:rsidR="00CB3EA2" w:rsidRPr="00CB3EA2" w:rsidRDefault="00CB3EA2" w:rsidP="002E3A03">
      <w:pPr>
        <w:rPr>
          <w:rFonts w:ascii="Calibri" w:hAnsi="Calibri" w:cs="Calibri"/>
          <w:sz w:val="20"/>
          <w:szCs w:val="20"/>
        </w:rPr>
      </w:pPr>
    </w:p>
    <w:p w14:paraId="5C6AC50F" w14:textId="7B010603" w:rsidR="00CB3EA2" w:rsidRPr="00CB3EA2" w:rsidRDefault="00CB3EA2" w:rsidP="00CB3EA2">
      <w:pPr>
        <w:pStyle w:val="Heading2"/>
        <w:spacing w:before="120" w:after="240"/>
        <w:rPr>
          <w:sz w:val="20"/>
          <w:szCs w:val="20"/>
        </w:rPr>
      </w:pPr>
      <w:r>
        <w:rPr>
          <w:sz w:val="20"/>
          <w:szCs w:val="20"/>
        </w:rPr>
        <w:t>Table S2: VP1</w:t>
      </w:r>
      <w:r w:rsidRPr="00CB3EA2">
        <w:rPr>
          <w:sz w:val="20"/>
          <w:szCs w:val="20"/>
        </w:rPr>
        <w:t xml:space="preserve"> Partitions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3"/>
        <w:gridCol w:w="2476"/>
        <w:gridCol w:w="1517"/>
        <w:gridCol w:w="3804"/>
      </w:tblGrid>
      <w:tr w:rsidR="00CB3EA2" w:rsidRPr="00CB3EA2" w14:paraId="0975A5FF" w14:textId="77777777" w:rsidTr="00CB3EA2">
        <w:tc>
          <w:tcPr>
            <w:tcW w:w="673" w:type="pct"/>
            <w:hideMark/>
          </w:tcPr>
          <w:p w14:paraId="7E257CFD" w14:textId="77777777" w:rsidR="00CB3EA2" w:rsidRPr="00CB3EA2" w:rsidRDefault="00CB3EA2" w:rsidP="00CB3EA2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Partition</w:t>
            </w:r>
          </w:p>
        </w:tc>
        <w:tc>
          <w:tcPr>
            <w:tcW w:w="1374" w:type="pct"/>
            <w:hideMark/>
          </w:tcPr>
          <w:p w14:paraId="7F38E22E" w14:textId="77777777" w:rsidR="00CB3EA2" w:rsidRPr="00CB3EA2" w:rsidRDefault="00CB3EA2" w:rsidP="00CB3EA2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 xml:space="preserve">AAV2 </w:t>
            </w:r>
            <w:proofErr w:type="spellStart"/>
            <w:r w:rsidRPr="00CB3EA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nt</w:t>
            </w:r>
            <w:proofErr w:type="spellEnd"/>
            <w:r w:rsidRPr="00CB3EA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 xml:space="preserve"> coordinates</w:t>
            </w:r>
          </w:p>
        </w:tc>
        <w:tc>
          <w:tcPr>
            <w:tcW w:w="842" w:type="pct"/>
            <w:hideMark/>
          </w:tcPr>
          <w:p w14:paraId="4449EAAF" w14:textId="77777777" w:rsidR="00CB3EA2" w:rsidRPr="00CB3EA2" w:rsidRDefault="00CB3EA2" w:rsidP="00CB3EA2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VP1 codons</w:t>
            </w:r>
          </w:p>
        </w:tc>
        <w:tc>
          <w:tcPr>
            <w:tcW w:w="2111" w:type="pct"/>
            <w:hideMark/>
          </w:tcPr>
          <w:p w14:paraId="62BD0BAC" w14:textId="77777777" w:rsidR="00CB3EA2" w:rsidRPr="00CB3EA2" w:rsidRDefault="00CB3EA2" w:rsidP="00CB3EA2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Notes</w:t>
            </w:r>
          </w:p>
        </w:tc>
      </w:tr>
      <w:tr w:rsidR="00CB3EA2" w:rsidRPr="00CB3EA2" w14:paraId="0AF6377A" w14:textId="77777777" w:rsidTr="00CB3EA2">
        <w:tc>
          <w:tcPr>
            <w:tcW w:w="673" w:type="pct"/>
            <w:hideMark/>
          </w:tcPr>
          <w:p w14:paraId="016DD951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374" w:type="pct"/>
            <w:hideMark/>
          </w:tcPr>
          <w:p w14:paraId="6E36BC4F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2332–2601</w:t>
            </w:r>
          </w:p>
        </w:tc>
        <w:tc>
          <w:tcPr>
            <w:tcW w:w="842" w:type="pct"/>
            <w:hideMark/>
          </w:tcPr>
          <w:p w14:paraId="44E31245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44–133</w:t>
            </w:r>
          </w:p>
        </w:tc>
        <w:tc>
          <w:tcPr>
            <w:tcW w:w="2111" w:type="pct"/>
            <w:hideMark/>
          </w:tcPr>
          <w:p w14:paraId="5640B1EA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VP1-specific N-terminal extension</w:t>
            </w:r>
          </w:p>
        </w:tc>
      </w:tr>
      <w:tr w:rsidR="00CB3EA2" w:rsidRPr="00CB3EA2" w14:paraId="78D2963C" w14:textId="77777777" w:rsidTr="00CB3EA2">
        <w:tc>
          <w:tcPr>
            <w:tcW w:w="673" w:type="pct"/>
            <w:hideMark/>
          </w:tcPr>
          <w:p w14:paraId="22BAF227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374" w:type="pct"/>
            <w:hideMark/>
          </w:tcPr>
          <w:p w14:paraId="78E889CC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2833–2973</w:t>
            </w:r>
          </w:p>
        </w:tc>
        <w:tc>
          <w:tcPr>
            <w:tcW w:w="842" w:type="pct"/>
            <w:hideMark/>
          </w:tcPr>
          <w:p w14:paraId="0BFB49D4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211–257</w:t>
            </w:r>
          </w:p>
        </w:tc>
        <w:tc>
          <w:tcPr>
            <w:tcW w:w="2111" w:type="pct"/>
            <w:hideMark/>
          </w:tcPr>
          <w:p w14:paraId="424C0117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Internal conserved motif</w:t>
            </w:r>
          </w:p>
        </w:tc>
      </w:tr>
      <w:tr w:rsidR="00CB3EA2" w:rsidRPr="00CB3EA2" w14:paraId="14DB812B" w14:textId="77777777" w:rsidTr="00CB3EA2">
        <w:tc>
          <w:tcPr>
            <w:tcW w:w="673" w:type="pct"/>
            <w:hideMark/>
          </w:tcPr>
          <w:p w14:paraId="41DA758E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374" w:type="pct"/>
            <w:hideMark/>
          </w:tcPr>
          <w:p w14:paraId="74DCA8DE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3016–3342</w:t>
            </w:r>
          </w:p>
        </w:tc>
        <w:tc>
          <w:tcPr>
            <w:tcW w:w="842" w:type="pct"/>
            <w:hideMark/>
          </w:tcPr>
          <w:p w14:paraId="50473626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272–380</w:t>
            </w:r>
          </w:p>
        </w:tc>
        <w:tc>
          <w:tcPr>
            <w:tcW w:w="2111" w:type="pct"/>
            <w:hideMark/>
          </w:tcPr>
          <w:p w14:paraId="56F5200D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High-confidence mid-region</w:t>
            </w:r>
          </w:p>
        </w:tc>
      </w:tr>
      <w:tr w:rsidR="00CB3EA2" w:rsidRPr="00CB3EA2" w14:paraId="6FF5F588" w14:textId="77777777" w:rsidTr="00CB3EA2">
        <w:tc>
          <w:tcPr>
            <w:tcW w:w="673" w:type="pct"/>
            <w:hideMark/>
          </w:tcPr>
          <w:p w14:paraId="43F71E6B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374" w:type="pct"/>
            <w:hideMark/>
          </w:tcPr>
          <w:p w14:paraId="7A56D9DE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3376–3546</w:t>
            </w:r>
          </w:p>
        </w:tc>
        <w:tc>
          <w:tcPr>
            <w:tcW w:w="842" w:type="pct"/>
            <w:hideMark/>
          </w:tcPr>
          <w:p w14:paraId="70F1022C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392–448</w:t>
            </w:r>
          </w:p>
        </w:tc>
        <w:tc>
          <w:tcPr>
            <w:tcW w:w="2111" w:type="pct"/>
            <w:hideMark/>
          </w:tcPr>
          <w:p w14:paraId="68ED3ACF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Linked to partition 3</w:t>
            </w:r>
          </w:p>
        </w:tc>
      </w:tr>
      <w:tr w:rsidR="00CB3EA2" w:rsidRPr="00CB3EA2" w14:paraId="7E6BC20D" w14:textId="77777777" w:rsidTr="00CB3EA2">
        <w:tc>
          <w:tcPr>
            <w:tcW w:w="673" w:type="pct"/>
            <w:hideMark/>
          </w:tcPr>
          <w:p w14:paraId="49D9568B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374" w:type="pct"/>
            <w:hideMark/>
          </w:tcPr>
          <w:p w14:paraId="31DA0151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3586–3645</w:t>
            </w:r>
          </w:p>
        </w:tc>
        <w:tc>
          <w:tcPr>
            <w:tcW w:w="842" w:type="pct"/>
            <w:hideMark/>
          </w:tcPr>
          <w:p w14:paraId="13714CB5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462–481</w:t>
            </w:r>
          </w:p>
        </w:tc>
        <w:tc>
          <w:tcPr>
            <w:tcW w:w="2111" w:type="pct"/>
            <w:hideMark/>
          </w:tcPr>
          <w:p w14:paraId="7C986BC8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Short conserved segment</w:t>
            </w:r>
          </w:p>
        </w:tc>
      </w:tr>
      <w:tr w:rsidR="00CB3EA2" w:rsidRPr="00CB3EA2" w14:paraId="644E9E1A" w14:textId="77777777" w:rsidTr="00CB3EA2">
        <w:tc>
          <w:tcPr>
            <w:tcW w:w="673" w:type="pct"/>
            <w:hideMark/>
          </w:tcPr>
          <w:p w14:paraId="07006A3B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1374" w:type="pct"/>
            <w:hideMark/>
          </w:tcPr>
          <w:p w14:paraId="35F81680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3880–4314</w:t>
            </w:r>
          </w:p>
        </w:tc>
        <w:tc>
          <w:tcPr>
            <w:tcW w:w="842" w:type="pct"/>
            <w:hideMark/>
          </w:tcPr>
          <w:p w14:paraId="098407C4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560–704</w:t>
            </w:r>
          </w:p>
        </w:tc>
        <w:tc>
          <w:tcPr>
            <w:tcW w:w="2111" w:type="pct"/>
            <w:hideMark/>
          </w:tcPr>
          <w:p w14:paraId="292AA6D2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Most conserved region in VP1</w:t>
            </w:r>
          </w:p>
        </w:tc>
      </w:tr>
      <w:tr w:rsidR="00CB3EA2" w:rsidRPr="00CB3EA2" w14:paraId="0C636116" w14:textId="77777777" w:rsidTr="00CB3EA2">
        <w:tc>
          <w:tcPr>
            <w:tcW w:w="673" w:type="pct"/>
            <w:hideMark/>
          </w:tcPr>
          <w:p w14:paraId="37144727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1374" w:type="pct"/>
            <w:hideMark/>
          </w:tcPr>
          <w:p w14:paraId="1FFA78BD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4336–4395</w:t>
            </w:r>
          </w:p>
        </w:tc>
        <w:tc>
          <w:tcPr>
            <w:tcW w:w="842" w:type="pct"/>
            <w:hideMark/>
          </w:tcPr>
          <w:p w14:paraId="66F6AEC5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712–731</w:t>
            </w:r>
          </w:p>
        </w:tc>
        <w:tc>
          <w:tcPr>
            <w:tcW w:w="2111" w:type="pct"/>
            <w:hideMark/>
          </w:tcPr>
          <w:p w14:paraId="209B99AE" w14:textId="77777777" w:rsidR="00CB3EA2" w:rsidRPr="00CB3EA2" w:rsidRDefault="00CB3EA2" w:rsidP="00CB3EA2">
            <w:pPr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</w:pPr>
            <w:r w:rsidRPr="00CB3EA2">
              <w:rPr>
                <w:rFonts w:ascii="Calibri" w:eastAsia="Times New Roman" w:hAnsi="Calibri" w:cs="Calibri"/>
                <w:sz w:val="18"/>
                <w:szCs w:val="18"/>
                <w:lang w:eastAsia="en-GB"/>
              </w:rPr>
              <w:t>Terminal conserved region</w:t>
            </w:r>
          </w:p>
        </w:tc>
      </w:tr>
    </w:tbl>
    <w:p w14:paraId="08E7EDDE" w14:textId="066D6D7B" w:rsidR="00FB70D7" w:rsidRPr="00644774" w:rsidRDefault="00FB70D7" w:rsidP="00431EE4">
      <w:pPr>
        <w:pStyle w:val="Heading2"/>
        <w:rPr>
          <w:sz w:val="22"/>
          <w:szCs w:val="22"/>
        </w:rPr>
      </w:pPr>
    </w:p>
    <w:p w14:paraId="06B6C148" w14:textId="77777777" w:rsidR="00D91B45" w:rsidRPr="00FB70D7" w:rsidRDefault="00D91B45" w:rsidP="00431EE4">
      <w:pPr>
        <w:pStyle w:val="Heading2"/>
      </w:pPr>
    </w:p>
    <w:p w14:paraId="3640A61D" w14:textId="53FA8D12" w:rsidR="00081258" w:rsidRDefault="00081258"/>
    <w:sectPr w:rsidR="00081258" w:rsidSect="00FB70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1706A" w14:textId="77777777" w:rsidR="00981B2C" w:rsidRDefault="00981B2C" w:rsidP="00F824BC">
      <w:r>
        <w:separator/>
      </w:r>
    </w:p>
  </w:endnote>
  <w:endnote w:type="continuationSeparator" w:id="0">
    <w:p w14:paraId="6C3C24B9" w14:textId="77777777" w:rsidR="00981B2C" w:rsidRDefault="00981B2C" w:rsidP="00F8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0EA3F" w14:textId="77777777" w:rsidR="00981B2C" w:rsidRDefault="00981B2C" w:rsidP="00F824BC">
      <w:r>
        <w:separator/>
      </w:r>
    </w:p>
  </w:footnote>
  <w:footnote w:type="continuationSeparator" w:id="0">
    <w:p w14:paraId="59B29CF6" w14:textId="77777777" w:rsidR="00981B2C" w:rsidRDefault="00981B2C" w:rsidP="00F82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0&lt;/ScanUnformatted&gt;&lt;ScanChanges&gt;0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fx9pwsxddeftkevdp8vat0ldt5a9pp5zdp2&quot;&gt;aav-evolution&lt;record-ids&gt;&lt;item&gt;3&lt;/item&gt;&lt;item&gt;4&lt;/item&gt;&lt;item&gt;68&lt;/item&gt;&lt;item&gt;71&lt;/item&gt;&lt;item&gt;79&lt;/item&gt;&lt;item&gt;80&lt;/item&gt;&lt;item&gt;81&lt;/item&gt;&lt;item&gt;397&lt;/item&gt;&lt;item&gt;398&lt;/item&gt;&lt;item&gt;406&lt;/item&gt;&lt;item&gt;407&lt;/item&gt;&lt;item&gt;408&lt;/item&gt;&lt;item&gt;410&lt;/item&gt;&lt;item&gt;412&lt;/item&gt;&lt;item&gt;413&lt;/item&gt;&lt;/record-ids&gt;&lt;/item&gt;&lt;/Libraries&gt;"/>
  </w:docVars>
  <w:rsids>
    <w:rsidRoot w:val="006E4BAF"/>
    <w:rsid w:val="00000624"/>
    <w:rsid w:val="000247CF"/>
    <w:rsid w:val="00040695"/>
    <w:rsid w:val="00043124"/>
    <w:rsid w:val="0004668B"/>
    <w:rsid w:val="00052A19"/>
    <w:rsid w:val="000555D6"/>
    <w:rsid w:val="0006094C"/>
    <w:rsid w:val="0006530C"/>
    <w:rsid w:val="00065F1E"/>
    <w:rsid w:val="00074E99"/>
    <w:rsid w:val="00081258"/>
    <w:rsid w:val="00081835"/>
    <w:rsid w:val="000B552E"/>
    <w:rsid w:val="000E5028"/>
    <w:rsid w:val="000F66DA"/>
    <w:rsid w:val="0011718B"/>
    <w:rsid w:val="0013047C"/>
    <w:rsid w:val="001466D5"/>
    <w:rsid w:val="0015439E"/>
    <w:rsid w:val="00162479"/>
    <w:rsid w:val="0017122B"/>
    <w:rsid w:val="001B2282"/>
    <w:rsid w:val="001E5037"/>
    <w:rsid w:val="001F1D12"/>
    <w:rsid w:val="001F2161"/>
    <w:rsid w:val="001F29EE"/>
    <w:rsid w:val="002046E1"/>
    <w:rsid w:val="002226BE"/>
    <w:rsid w:val="00233F1E"/>
    <w:rsid w:val="00241600"/>
    <w:rsid w:val="002421C4"/>
    <w:rsid w:val="00245E08"/>
    <w:rsid w:val="00246EA9"/>
    <w:rsid w:val="00286826"/>
    <w:rsid w:val="002975DD"/>
    <w:rsid w:val="002A0833"/>
    <w:rsid w:val="002A1B98"/>
    <w:rsid w:val="002A7325"/>
    <w:rsid w:val="002A7623"/>
    <w:rsid w:val="002B52F8"/>
    <w:rsid w:val="002C3DF4"/>
    <w:rsid w:val="002E3A03"/>
    <w:rsid w:val="0030228A"/>
    <w:rsid w:val="00325998"/>
    <w:rsid w:val="00345DF8"/>
    <w:rsid w:val="003532EF"/>
    <w:rsid w:val="00370278"/>
    <w:rsid w:val="00371FEB"/>
    <w:rsid w:val="0037296C"/>
    <w:rsid w:val="00391FCB"/>
    <w:rsid w:val="00394601"/>
    <w:rsid w:val="003A63D4"/>
    <w:rsid w:val="003D2734"/>
    <w:rsid w:val="003D58DB"/>
    <w:rsid w:val="003D7CAB"/>
    <w:rsid w:val="003E5414"/>
    <w:rsid w:val="003F5500"/>
    <w:rsid w:val="00406137"/>
    <w:rsid w:val="00406B65"/>
    <w:rsid w:val="00431EE4"/>
    <w:rsid w:val="00436CEE"/>
    <w:rsid w:val="00443026"/>
    <w:rsid w:val="004431C1"/>
    <w:rsid w:val="00455182"/>
    <w:rsid w:val="004670D5"/>
    <w:rsid w:val="00467ED8"/>
    <w:rsid w:val="00470141"/>
    <w:rsid w:val="00475FD6"/>
    <w:rsid w:val="0047739B"/>
    <w:rsid w:val="00491D4B"/>
    <w:rsid w:val="004A19CC"/>
    <w:rsid w:val="004A23E0"/>
    <w:rsid w:val="004B79FA"/>
    <w:rsid w:val="004C43E8"/>
    <w:rsid w:val="004C59D8"/>
    <w:rsid w:val="004D2607"/>
    <w:rsid w:val="004D473A"/>
    <w:rsid w:val="004E6649"/>
    <w:rsid w:val="004F0DFE"/>
    <w:rsid w:val="004F1F55"/>
    <w:rsid w:val="0050753B"/>
    <w:rsid w:val="0051636C"/>
    <w:rsid w:val="00530EB0"/>
    <w:rsid w:val="00531BA1"/>
    <w:rsid w:val="005322C0"/>
    <w:rsid w:val="00537289"/>
    <w:rsid w:val="00554773"/>
    <w:rsid w:val="00562D56"/>
    <w:rsid w:val="00581A53"/>
    <w:rsid w:val="00584D53"/>
    <w:rsid w:val="00586A37"/>
    <w:rsid w:val="00592CE1"/>
    <w:rsid w:val="005A15C9"/>
    <w:rsid w:val="005A7E9F"/>
    <w:rsid w:val="005E0E41"/>
    <w:rsid w:val="005E6083"/>
    <w:rsid w:val="005F596C"/>
    <w:rsid w:val="005F59EC"/>
    <w:rsid w:val="006053C5"/>
    <w:rsid w:val="0061123E"/>
    <w:rsid w:val="00627663"/>
    <w:rsid w:val="00630C63"/>
    <w:rsid w:val="00635485"/>
    <w:rsid w:val="00644774"/>
    <w:rsid w:val="00651645"/>
    <w:rsid w:val="006802CE"/>
    <w:rsid w:val="006879E4"/>
    <w:rsid w:val="006A69E8"/>
    <w:rsid w:val="006B1F0B"/>
    <w:rsid w:val="006C1772"/>
    <w:rsid w:val="006D0936"/>
    <w:rsid w:val="006E06EE"/>
    <w:rsid w:val="006E4BAF"/>
    <w:rsid w:val="006F2FF4"/>
    <w:rsid w:val="006F5CD5"/>
    <w:rsid w:val="00714891"/>
    <w:rsid w:val="00716B6A"/>
    <w:rsid w:val="00717130"/>
    <w:rsid w:val="007422E7"/>
    <w:rsid w:val="0074477B"/>
    <w:rsid w:val="0074493B"/>
    <w:rsid w:val="0078583D"/>
    <w:rsid w:val="00787814"/>
    <w:rsid w:val="007908BE"/>
    <w:rsid w:val="007932DC"/>
    <w:rsid w:val="007A4D88"/>
    <w:rsid w:val="007A57D5"/>
    <w:rsid w:val="007B57B9"/>
    <w:rsid w:val="007C1F99"/>
    <w:rsid w:val="007C75DF"/>
    <w:rsid w:val="007C7F18"/>
    <w:rsid w:val="007D42D5"/>
    <w:rsid w:val="007E42FD"/>
    <w:rsid w:val="007E7760"/>
    <w:rsid w:val="007F4AC5"/>
    <w:rsid w:val="007F7F1B"/>
    <w:rsid w:val="00817581"/>
    <w:rsid w:val="008214D5"/>
    <w:rsid w:val="00822B12"/>
    <w:rsid w:val="00825E59"/>
    <w:rsid w:val="0082652C"/>
    <w:rsid w:val="00834AF5"/>
    <w:rsid w:val="00842EDE"/>
    <w:rsid w:val="008470F6"/>
    <w:rsid w:val="00852A86"/>
    <w:rsid w:val="00860BDB"/>
    <w:rsid w:val="008772D8"/>
    <w:rsid w:val="00883B80"/>
    <w:rsid w:val="00887A13"/>
    <w:rsid w:val="00895D3C"/>
    <w:rsid w:val="008A4E3E"/>
    <w:rsid w:val="008B3214"/>
    <w:rsid w:val="008B6724"/>
    <w:rsid w:val="008C65BC"/>
    <w:rsid w:val="008C7D78"/>
    <w:rsid w:val="008D16DC"/>
    <w:rsid w:val="008F3489"/>
    <w:rsid w:val="0090269B"/>
    <w:rsid w:val="00905A04"/>
    <w:rsid w:val="00906F83"/>
    <w:rsid w:val="0093291D"/>
    <w:rsid w:val="00933046"/>
    <w:rsid w:val="00952D54"/>
    <w:rsid w:val="00954C26"/>
    <w:rsid w:val="00981B2C"/>
    <w:rsid w:val="00992552"/>
    <w:rsid w:val="009A771C"/>
    <w:rsid w:val="009A77FF"/>
    <w:rsid w:val="009B0093"/>
    <w:rsid w:val="009D66E5"/>
    <w:rsid w:val="009E519D"/>
    <w:rsid w:val="009E5D49"/>
    <w:rsid w:val="009F173E"/>
    <w:rsid w:val="00A129F3"/>
    <w:rsid w:val="00A24B40"/>
    <w:rsid w:val="00A2765F"/>
    <w:rsid w:val="00A336F9"/>
    <w:rsid w:val="00A40F8F"/>
    <w:rsid w:val="00A43FD4"/>
    <w:rsid w:val="00A449D2"/>
    <w:rsid w:val="00A47BFC"/>
    <w:rsid w:val="00A5479A"/>
    <w:rsid w:val="00A60D95"/>
    <w:rsid w:val="00A715AE"/>
    <w:rsid w:val="00A76188"/>
    <w:rsid w:val="00A82507"/>
    <w:rsid w:val="00A85E98"/>
    <w:rsid w:val="00AA290F"/>
    <w:rsid w:val="00AC0197"/>
    <w:rsid w:val="00AC3619"/>
    <w:rsid w:val="00AC3853"/>
    <w:rsid w:val="00AF7512"/>
    <w:rsid w:val="00B017BF"/>
    <w:rsid w:val="00B111CA"/>
    <w:rsid w:val="00B172A5"/>
    <w:rsid w:val="00B31B7C"/>
    <w:rsid w:val="00B50258"/>
    <w:rsid w:val="00B50A1B"/>
    <w:rsid w:val="00B54032"/>
    <w:rsid w:val="00B6313E"/>
    <w:rsid w:val="00B74871"/>
    <w:rsid w:val="00B836DF"/>
    <w:rsid w:val="00B916F2"/>
    <w:rsid w:val="00BA2D6A"/>
    <w:rsid w:val="00BB0304"/>
    <w:rsid w:val="00BB3D0A"/>
    <w:rsid w:val="00BB5A90"/>
    <w:rsid w:val="00BC0EDD"/>
    <w:rsid w:val="00BC7472"/>
    <w:rsid w:val="00BD2EDE"/>
    <w:rsid w:val="00BE1EDD"/>
    <w:rsid w:val="00BF5FCE"/>
    <w:rsid w:val="00C138D8"/>
    <w:rsid w:val="00C17377"/>
    <w:rsid w:val="00C22788"/>
    <w:rsid w:val="00C32BE0"/>
    <w:rsid w:val="00C3423B"/>
    <w:rsid w:val="00C4148E"/>
    <w:rsid w:val="00C57C88"/>
    <w:rsid w:val="00C665B5"/>
    <w:rsid w:val="00C67889"/>
    <w:rsid w:val="00C8112A"/>
    <w:rsid w:val="00C8546D"/>
    <w:rsid w:val="00C857F2"/>
    <w:rsid w:val="00C879F3"/>
    <w:rsid w:val="00CB14B8"/>
    <w:rsid w:val="00CB3EA2"/>
    <w:rsid w:val="00CB6EAD"/>
    <w:rsid w:val="00CC7CB8"/>
    <w:rsid w:val="00CE4618"/>
    <w:rsid w:val="00CE5A30"/>
    <w:rsid w:val="00CE7121"/>
    <w:rsid w:val="00D14CC1"/>
    <w:rsid w:val="00D34A33"/>
    <w:rsid w:val="00D55103"/>
    <w:rsid w:val="00D626BF"/>
    <w:rsid w:val="00D83D83"/>
    <w:rsid w:val="00D87634"/>
    <w:rsid w:val="00D91B45"/>
    <w:rsid w:val="00DA7EF1"/>
    <w:rsid w:val="00DC754C"/>
    <w:rsid w:val="00DD52B9"/>
    <w:rsid w:val="00DE42F9"/>
    <w:rsid w:val="00E05C72"/>
    <w:rsid w:val="00E21EF3"/>
    <w:rsid w:val="00E56E09"/>
    <w:rsid w:val="00E611CE"/>
    <w:rsid w:val="00E72572"/>
    <w:rsid w:val="00E94225"/>
    <w:rsid w:val="00E96A4A"/>
    <w:rsid w:val="00EB0475"/>
    <w:rsid w:val="00EB0B86"/>
    <w:rsid w:val="00EB0D15"/>
    <w:rsid w:val="00EC695F"/>
    <w:rsid w:val="00EC7896"/>
    <w:rsid w:val="00EF31A4"/>
    <w:rsid w:val="00F122A1"/>
    <w:rsid w:val="00F14CA1"/>
    <w:rsid w:val="00F7235B"/>
    <w:rsid w:val="00F80811"/>
    <w:rsid w:val="00F824BC"/>
    <w:rsid w:val="00F85EF4"/>
    <w:rsid w:val="00F866E8"/>
    <w:rsid w:val="00F93620"/>
    <w:rsid w:val="00FB6968"/>
    <w:rsid w:val="00FB70D7"/>
    <w:rsid w:val="00FC6F19"/>
    <w:rsid w:val="00FD0D6F"/>
    <w:rsid w:val="00FD5B57"/>
    <w:rsid w:val="00FD5E73"/>
    <w:rsid w:val="00FE4A32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12753"/>
  <w15:chartTrackingRefBased/>
  <w15:docId w15:val="{3116C241-FB75-C54F-A9EB-2523C992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BAF"/>
  </w:style>
  <w:style w:type="paragraph" w:styleId="Heading1">
    <w:name w:val="heading 1"/>
    <w:basedOn w:val="Normal"/>
    <w:next w:val="Normal"/>
    <w:link w:val="Heading1Char"/>
    <w:uiPriority w:val="9"/>
    <w:qFormat/>
    <w:rsid w:val="00FB70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431EE4"/>
    <w:pPr>
      <w:outlineLvl w:val="1"/>
    </w:pPr>
    <w:rPr>
      <w:rFonts w:asciiTheme="minorHAnsi" w:hAnsiTheme="minorHAnsi" w:cstheme="minorHAns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E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EE4"/>
    <w:rPr>
      <w:rFonts w:eastAsiaTheme="majorEastAsia" w:cs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E4BAF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C0EDD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C0EDD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C0EDD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C0EDD"/>
    <w:rPr>
      <w:rFonts w:ascii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B7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7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4BC"/>
  </w:style>
  <w:style w:type="paragraph" w:styleId="Footer">
    <w:name w:val="footer"/>
    <w:basedOn w:val="Normal"/>
    <w:link w:val="FooterChar"/>
    <w:uiPriority w:val="99"/>
    <w:unhideWhenUsed/>
    <w:rsid w:val="00F8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4BC"/>
  </w:style>
  <w:style w:type="character" w:customStyle="1" w:styleId="Heading4Char">
    <w:name w:val="Heading 4 Char"/>
    <w:basedOn w:val="DefaultParagraphFont"/>
    <w:link w:val="Heading4"/>
    <w:uiPriority w:val="9"/>
    <w:semiHidden/>
    <w:rsid w:val="00CB3E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B3E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Gifford</dc:creator>
  <cp:keywords/>
  <dc:description/>
  <cp:lastModifiedBy>Rob Gifford</cp:lastModifiedBy>
  <cp:revision>4</cp:revision>
  <dcterms:created xsi:type="dcterms:W3CDTF">2025-05-14T10:59:00Z</dcterms:created>
  <dcterms:modified xsi:type="dcterms:W3CDTF">2025-05-14T12:25:00Z</dcterms:modified>
</cp:coreProperties>
</file>