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9E7B8" w14:textId="77777777" w:rsidR="00C2692F" w:rsidRDefault="00C2692F">
      <w:pPr>
        <w:pStyle w:val="Text"/>
        <w:ind w:firstLine="0"/>
        <w:rPr>
          <w:sz w:val="2"/>
          <w:szCs w:val="18"/>
        </w:rPr>
      </w:pPr>
      <w:r>
        <w:rPr>
          <w:sz w:val="2"/>
          <w:szCs w:val="18"/>
        </w:rPr>
        <w:footnoteReference w:customMarkFollows="1" w:id="1"/>
        <w:sym w:font="Symbol" w:char="F020"/>
      </w:r>
    </w:p>
    <w:p w14:paraId="295B29D4" w14:textId="77777777" w:rsidR="00C2692F" w:rsidRDefault="00C2692F" w:rsidP="00C2692F">
      <w:pPr>
        <w:pStyle w:val="Title"/>
        <w:framePr w:wrap="notBeside"/>
      </w:pPr>
      <w:r>
        <w:t>Template for Preparation of Papers for IEEE Sponsored Conferences &amp; Symposia*</w:t>
      </w:r>
    </w:p>
    <w:p w14:paraId="29607565" w14:textId="77777777" w:rsidR="00C2692F" w:rsidRDefault="00C2692F" w:rsidP="00C2692F">
      <w:pPr>
        <w:pStyle w:val="Authors"/>
        <w:framePr w:wrap="notBeside" w:x="1614"/>
      </w:pPr>
      <w:r>
        <w:t xml:space="preserve">First A. Author, Second B. Author, Jr., and Third C. Author, </w:t>
      </w:r>
      <w:r>
        <w:rPr>
          <w:rStyle w:val="MemberType"/>
        </w:rPr>
        <w:t>Member, IEEE</w:t>
      </w:r>
    </w:p>
    <w:p w14:paraId="74847330" w14:textId="03F437CD" w:rsidR="00C2692F" w:rsidRDefault="00A94EB1" w:rsidP="00A94EB1">
      <w:pPr>
        <w:pStyle w:val="Abstract"/>
        <w:spacing w:before="0"/>
        <w:ind w:firstLine="0"/>
      </w:pPr>
      <w:r>
        <w:rPr>
          <w:i/>
          <w:iCs/>
        </w:rPr>
        <w:t xml:space="preserve">     </w:t>
      </w:r>
      <w:r w:rsidR="00C2692F">
        <w:rPr>
          <w:i/>
          <w:iCs/>
        </w:rPr>
        <w:t>Abstract</w:t>
      </w:r>
      <w:r w:rsidR="00C2692F">
        <w:t>—</w:t>
      </w:r>
      <w:r w:rsidR="00E63552" w:rsidRPr="00E63552">
        <w:t xml:space="preserve">In the supervised learning setting, </w:t>
      </w:r>
      <w:r w:rsidR="003E385D" w:rsidRPr="00E63552">
        <w:t xml:space="preserve">sufficient labeled data </w:t>
      </w:r>
      <w:r w:rsidR="003E385D">
        <w:t xml:space="preserve">is </w:t>
      </w:r>
      <w:r w:rsidR="00E63552" w:rsidRPr="00E63552">
        <w:t xml:space="preserve">essential </w:t>
      </w:r>
      <w:r w:rsidR="003E385D">
        <w:t>for strong performance</w:t>
      </w:r>
      <w:r w:rsidR="00E63552" w:rsidRPr="00E63552">
        <w:t>; however, in many domains, such as activity recognition, existing labeled data may not be available and the annotation process is often too cumbersome, time-consuming and prone to human error. In this work, we explore the us</w:t>
      </w:r>
      <w:r w:rsidR="003E385D">
        <w:t xml:space="preserve">e of Multiple-Instance Learning </w:t>
      </w:r>
      <w:r w:rsidR="00E63552" w:rsidRPr="00E63552">
        <w:t xml:space="preserve">in order to reduce the need for fine-grained labels. We examine the drop in performance on two existing time-domain gesture-annotated datasets and show that given coarse-grain ground-truth annotations </w:t>
      </w:r>
      <w:r w:rsidR="003E385D">
        <w:t xml:space="preserve">we </w:t>
      </w:r>
      <w:r w:rsidR="00E63552" w:rsidRPr="00E63552">
        <w:t xml:space="preserve">can achieve performance metrics comparable with standard supervised Machine Learning approaches </w:t>
      </w:r>
      <w:r w:rsidR="003E385D">
        <w:t>that require</w:t>
      </w:r>
      <w:r w:rsidR="00E63552" w:rsidRPr="00E63552">
        <w:t xml:space="preserve"> fine-grain labels. We evaluate the performance in a leave-one-participant-out fashion given (1) coarsely labeled field data, (2) finely labeled lab data and (3) coarsely labeled data from the held-out participant. Our analysis shows that we can achieve competitive performance given a small number of fine-grained labels in addition to many coarse-grained labels and that even very few labeled sessions from the held-out participant </w:t>
      </w:r>
      <w:r w:rsidR="00706EF4">
        <w:t>boost</w:t>
      </w:r>
      <w:r w:rsidR="00E63552" w:rsidRPr="00E63552">
        <w:t xml:space="preserve"> performance significantly.</w:t>
      </w:r>
    </w:p>
    <w:p w14:paraId="1843EDEE" w14:textId="77777777" w:rsidR="00C2692F" w:rsidRDefault="00C2692F" w:rsidP="00C2692F">
      <w:pPr>
        <w:pStyle w:val="Heading1"/>
        <w:spacing w:before="120" w:after="120"/>
      </w:pPr>
      <w:r>
        <w:t>I</w:t>
      </w:r>
      <w:r>
        <w:rPr>
          <w:sz w:val="16"/>
          <w:szCs w:val="16"/>
        </w:rPr>
        <w:t>NTRODUCTION</w:t>
      </w:r>
    </w:p>
    <w:p w14:paraId="3A655D6C" w14:textId="3C6CE091" w:rsidR="00782B9C" w:rsidRDefault="00A94EB1" w:rsidP="00A94EB1">
      <w:pPr>
        <w:pStyle w:val="BodyText"/>
        <w:ind w:firstLine="0"/>
      </w:pPr>
      <w:r>
        <w:t xml:space="preserve">     </w:t>
      </w:r>
      <w:r w:rsidR="00290091" w:rsidRPr="00290091">
        <w:t>The ubiquity of mobile devices has led to a growing body of research in designing and solving gesture recognition tasks. These efforts have enormous implications</w:t>
      </w:r>
      <w:r w:rsidR="00DE0253">
        <w:t xml:space="preserve"> in the mobile health community and</w:t>
      </w:r>
      <w:r w:rsidR="00290091" w:rsidRPr="00290091">
        <w:t xml:space="preserve"> self-tracking fitness industry.</w:t>
      </w:r>
      <w:r w:rsidR="00DE0253">
        <w:t xml:space="preserve"> In particular, there is growing interest in detecting smoking gestures with the goal to prevent relapses for patients seeking smoking cessation. </w:t>
      </w:r>
      <w:r w:rsidR="0057464E">
        <w:t>Health providers</w:t>
      </w:r>
      <w:r w:rsidR="00DE0253">
        <w:t xml:space="preserve"> are</w:t>
      </w:r>
      <w:r w:rsidR="0057464E">
        <w:t xml:space="preserve"> also</w:t>
      </w:r>
      <w:r w:rsidR="00DE0253">
        <w:t xml:space="preserve"> interested in detecting eating behaviors to </w:t>
      </w:r>
      <w:r w:rsidR="00D36645">
        <w:t>minimize risk of</w:t>
      </w:r>
      <w:r w:rsidR="00DE0253">
        <w:t xml:space="preserve"> obesity and </w:t>
      </w:r>
      <w:r w:rsidR="003F61AC">
        <w:t xml:space="preserve">type II </w:t>
      </w:r>
      <w:r w:rsidR="00DE0253">
        <w:t>diabetes</w:t>
      </w:r>
      <w:r w:rsidR="00D36645">
        <w:t>.</w:t>
      </w:r>
      <w:r w:rsidR="0057464E">
        <w:t xml:space="preserve"> Robust systems built on these models are becoming the backbone to our prospective personalized</w:t>
      </w:r>
      <w:r w:rsidR="00D36645">
        <w:t xml:space="preserve"> </w:t>
      </w:r>
      <w:r w:rsidR="0057464E">
        <w:t xml:space="preserve">health care system. </w:t>
      </w:r>
      <w:r w:rsidR="00CF7ABF">
        <w:t xml:space="preserve">However, these systems remain far from realization because their underlying models continue to rely on large amounts of quality labeled data. </w:t>
      </w:r>
      <w:r w:rsidR="00D36645">
        <w:t>T</w:t>
      </w:r>
      <w:r w:rsidR="00290091" w:rsidRPr="00290091">
        <w:t xml:space="preserve">he standard approach to </w:t>
      </w:r>
      <w:r w:rsidR="00D36645">
        <w:t xml:space="preserve">such </w:t>
      </w:r>
      <w:r w:rsidR="00290091" w:rsidRPr="00290091">
        <w:t xml:space="preserve">gestural recognition </w:t>
      </w:r>
      <w:r w:rsidR="00D36645">
        <w:t xml:space="preserve">tasks employs a suitable </w:t>
      </w:r>
      <w:r w:rsidR="00290091" w:rsidRPr="00290091">
        <w:t xml:space="preserve">supervised classifier, which often performs exceptionally well given </w:t>
      </w:r>
      <w:r w:rsidR="00CF7ABF">
        <w:t>substantial</w:t>
      </w:r>
      <w:r w:rsidR="00290091" w:rsidRPr="00290091">
        <w:t xml:space="preserve"> labeled data and a well-</w:t>
      </w:r>
      <w:r w:rsidR="00900F93">
        <w:t>engineered</w:t>
      </w:r>
      <w:r w:rsidR="00290091" w:rsidRPr="00290091">
        <w:t xml:space="preserve"> feature representation. The bottleneck to this approa</w:t>
      </w:r>
      <w:r w:rsidR="00D36645">
        <w:t>ch is that acquiring sufficient labeled gestures</w:t>
      </w:r>
      <w:r w:rsidR="00290091" w:rsidRPr="00290091">
        <w:t xml:space="preserve"> may be challenging, time-consuming or costly. This is of particular interest for data collected in the field, which is essential</w:t>
      </w:r>
      <w:r w:rsidR="00D36645">
        <w:t xml:space="preserve"> for building a generalizable, </w:t>
      </w:r>
      <w:r w:rsidR="0041702C">
        <w:t xml:space="preserve">deployable </w:t>
      </w:r>
      <w:r w:rsidR="00424B13">
        <w:t>system</w:t>
      </w:r>
      <w:r w:rsidR="0041702C">
        <w:t>.</w:t>
      </w:r>
      <w:r w:rsidR="00D73CCA">
        <w:t xml:space="preserve"> In this work</w:t>
      </w:r>
      <w:r w:rsidR="00193826">
        <w:t xml:space="preserve"> we explore a class of mod</w:t>
      </w:r>
      <w:r w:rsidR="00E84F7B">
        <w:t xml:space="preserve">els Multiple-Instance Learning </w:t>
      </w:r>
      <w:r w:rsidR="00E84F7B">
        <w:t>that learns to classify gestures given labeled sessions containing those gestures.</w:t>
      </w:r>
    </w:p>
    <w:p w14:paraId="183EACD5" w14:textId="6ACAED1E" w:rsidR="00782B9C" w:rsidRDefault="00E84F7B" w:rsidP="00A94EB1">
      <w:pPr>
        <w:pStyle w:val="BodyText"/>
        <w:ind w:firstLine="0"/>
      </w:pPr>
      <w:r>
        <w:t xml:space="preserve">     </w:t>
      </w:r>
      <w:r w:rsidR="00782B9C">
        <w:t>Multi-</w:t>
      </w:r>
      <w:r w:rsidR="00782B9C" w:rsidRPr="00782B9C">
        <w:t xml:space="preserve">Instance Learning (MIL) is a class of supervised learning techniques for problems where only partial knowledge of the training labels is available. It was first introduced by </w:t>
      </w:r>
      <w:proofErr w:type="spellStart"/>
      <w:r w:rsidR="00782B9C" w:rsidRPr="00782B9C">
        <w:t>Dietterich</w:t>
      </w:r>
      <w:proofErr w:type="spellEnd"/>
      <w:r w:rsidR="00782B9C" w:rsidRPr="00782B9C">
        <w:t xml:space="preserve"> et al. [10] to address the problem of predicting activity levels of drug components and has since been used in many applications, including content-based image retrieval [9], scene classification [11] and mutagenesis characteristic predictions [12]. However, these techniques have been rarely been used in the time-domain</w:t>
      </w:r>
      <w:r w:rsidR="00782B9C">
        <w:t xml:space="preserve"> setting </w:t>
      </w:r>
    </w:p>
    <w:p w14:paraId="3DB741D5" w14:textId="77777777" w:rsidR="00782B9C" w:rsidRDefault="00782B9C" w:rsidP="00A94EB1">
      <w:pPr>
        <w:pStyle w:val="BodyText"/>
        <w:ind w:firstLine="0"/>
      </w:pPr>
    </w:p>
    <w:p w14:paraId="29B3066F" w14:textId="3FECC97D" w:rsidR="0041702C" w:rsidRDefault="00193826" w:rsidP="00A94EB1">
      <w:pPr>
        <w:pStyle w:val="BodyText"/>
        <w:ind w:firstLine="0"/>
      </w:pPr>
      <w:r>
        <w:t xml:space="preserve">We demonstrate that </w:t>
      </w:r>
      <w:r w:rsidR="00AA1245">
        <w:t xml:space="preserve">if a small fixed amount of labeled gestures are provided, then </w:t>
      </w:r>
      <w:r>
        <w:t>MIL techniques can be used to reduce</w:t>
      </w:r>
      <w:r w:rsidR="00D73CCA">
        <w:t xml:space="preserve"> the need for</w:t>
      </w:r>
      <w:r w:rsidR="00AA1245">
        <w:t xml:space="preserve"> </w:t>
      </w:r>
      <w:proofErr w:type="spellStart"/>
      <w:r w:rsidR="00AA1245">
        <w:t>additinoal</w:t>
      </w:r>
      <w:proofErr w:type="spellEnd"/>
      <w:r w:rsidR="00D73CCA">
        <w:t xml:space="preserve"> fine-grained labels while achieving competitive performance metrics on two existing datasets: Lab-20 Eating dataset </w:t>
      </w:r>
      <w:r w:rsidR="009D7708">
        <w:t>[5</w:t>
      </w:r>
      <w:r w:rsidR="00D73CCA">
        <w:t xml:space="preserve">] and </w:t>
      </w:r>
      <w:proofErr w:type="spellStart"/>
      <w:r w:rsidR="00D73CCA">
        <w:t>RisQ</w:t>
      </w:r>
      <w:proofErr w:type="spellEnd"/>
      <w:r w:rsidR="00D73CCA">
        <w:t xml:space="preserve"> Smoking dataset [</w:t>
      </w:r>
      <w:r w:rsidR="009D7708">
        <w:t>1</w:t>
      </w:r>
      <w:r w:rsidR="00D73CCA">
        <w:t>].</w:t>
      </w:r>
      <w:r w:rsidR="00AA1245">
        <w:t xml:space="preserve"> </w:t>
      </w:r>
      <w:r w:rsidR="0038011C">
        <w:t xml:space="preserve">We </w:t>
      </w:r>
      <w:proofErr w:type="gramStart"/>
      <w:r w:rsidR="0038011C">
        <w:t>proceed</w:t>
      </w:r>
      <w:proofErr w:type="gramEnd"/>
      <w:r w:rsidR="0038011C">
        <w:t xml:space="preserve"> with recent work on </w:t>
      </w:r>
      <w:r w:rsidR="00720D6F">
        <w:t>existing</w:t>
      </w:r>
      <w:r w:rsidR="0038011C">
        <w:t xml:space="preserve"> data collection techniques, introduce the Multiple-Instance framework, describe the datasets and report </w:t>
      </w:r>
      <w:r w:rsidR="003F7AD6">
        <w:t xml:space="preserve">results </w:t>
      </w:r>
      <w:r w:rsidR="009A27E0">
        <w:t xml:space="preserve">and analysis of </w:t>
      </w:r>
      <w:r w:rsidR="003F7AD6">
        <w:t xml:space="preserve">several relevant </w:t>
      </w:r>
      <w:r w:rsidR="0038011C">
        <w:t>evaluations.</w:t>
      </w:r>
    </w:p>
    <w:p w14:paraId="67C1ACF6" w14:textId="36B910E0" w:rsidR="0041702C" w:rsidRDefault="0041702C" w:rsidP="00A94EB1">
      <w:pPr>
        <w:pStyle w:val="Heading1"/>
        <w:spacing w:before="120" w:after="120"/>
      </w:pPr>
      <w:r>
        <w:t>Re</w:t>
      </w:r>
      <w:r w:rsidR="003B3862">
        <w:t>lated</w:t>
      </w:r>
      <w:r>
        <w:t xml:space="preserve"> Work</w:t>
      </w:r>
    </w:p>
    <w:p w14:paraId="010B6FBF" w14:textId="32208435" w:rsidR="00C2692F" w:rsidRPr="00290091" w:rsidRDefault="00290091" w:rsidP="00A94EB1">
      <w:pPr>
        <w:pStyle w:val="BodyText"/>
        <w:ind w:firstLine="0"/>
      </w:pPr>
      <w:r w:rsidRPr="00290091">
        <w:t xml:space="preserve">While many techniques have been adopted to reduce the data annotation effort, this often comes at the expense of noisy labels due to factors such as human error.
A commonly used lightweight approach to gesture annotation is experience sampling </w:t>
      </w:r>
      <w:r w:rsidR="0038011C">
        <w:t xml:space="preserve">[6] </w:t>
      </w:r>
      <w:r w:rsidRPr="00290091">
        <w:t xml:space="preserve">where human subjects are prompted to label their current activity or recount their previous activity </w:t>
      </w:r>
      <w:proofErr w:type="gramStart"/>
      <w:r w:rsidRPr="00290091">
        <w:t>break-down</w:t>
      </w:r>
      <w:proofErr w:type="gramEnd"/>
      <w:r w:rsidRPr="00290091">
        <w:t>. This is often best suited when the activities span a large time interval</w:t>
      </w:r>
      <w:r w:rsidR="00D36645">
        <w:t xml:space="preserve"> comprising mostly of positive gestures</w:t>
      </w:r>
      <w:r w:rsidRPr="00290091">
        <w:t xml:space="preserve">; </w:t>
      </w:r>
      <w:r w:rsidR="00D36645">
        <w:t>this is often not the case for the smoking and eating detection tasks</w:t>
      </w:r>
      <w:r w:rsidRPr="00290091">
        <w:t>.
One of the most common solutions to reduce human error in data collection is video annotation. Although video labeling is relatively robust to human error, it is time-consuming, intr</w:t>
      </w:r>
      <w:r w:rsidR="00D36645">
        <w:t>oduces privacy concerns, and consumes significant power</w:t>
      </w:r>
      <w:r w:rsidRPr="00290091">
        <w:t xml:space="preserve">, making it impractical for collecting large-scale </w:t>
      </w:r>
      <w:r w:rsidR="00D36645">
        <w:t>field data.</w:t>
      </w:r>
      <w:r w:rsidRPr="00290091">
        <w:t xml:space="preserve"> Thus, there has been a significant effort to reduce the use of video recordings for annotated data collection while minimizing the label noise. </w:t>
      </w:r>
      <w:proofErr w:type="spellStart"/>
      <w:r w:rsidRPr="00290091">
        <w:t>Thomaz</w:t>
      </w:r>
      <w:proofErr w:type="spellEnd"/>
      <w:r w:rsidRPr="00290091">
        <w:t xml:space="preserve"> et al. </w:t>
      </w:r>
      <w:r w:rsidR="009D7708">
        <w:t>[5]</w:t>
      </w:r>
      <w:r w:rsidRPr="00290091">
        <w:t xml:space="preserve"> employ an upward-facing camera mounted on a necklace to capture eating gestures in the field; the camera takes a snapshot of the subject every 30 seconds, significantly reducing the power consumption and labeling efforts required.</w:t>
      </w:r>
      <w:r w:rsidR="0085502C">
        <w:t xml:space="preserve"> However, due to </w:t>
      </w:r>
      <w:r w:rsidR="009E5304">
        <w:t>the</w:t>
      </w:r>
      <w:r w:rsidR="0085502C">
        <w:t xml:space="preserve"> low temporal </w:t>
      </w:r>
      <w:r w:rsidR="009E5304">
        <w:t xml:space="preserve">resolution, they </w:t>
      </w:r>
      <w:r w:rsidR="0041702C">
        <w:t>use these labels only as</w:t>
      </w:r>
      <w:r w:rsidR="009E5304">
        <w:t xml:space="preserve"> test data for detecting eating ses</w:t>
      </w:r>
      <w:r w:rsidR="0041702C">
        <w:t>sions (meals), not for detecting individual gestures.</w:t>
      </w:r>
      <w:r w:rsidR="009D7708">
        <w:t xml:space="preserve"> </w:t>
      </w:r>
      <w:proofErr w:type="spellStart"/>
      <w:r w:rsidR="009D7708">
        <w:t>Parate</w:t>
      </w:r>
      <w:proofErr w:type="spellEnd"/>
      <w:r w:rsidR="009D7708">
        <w:t xml:space="preserve"> et al. [1]</w:t>
      </w:r>
      <w:r w:rsidRPr="00290091">
        <w:t xml:space="preserve"> use a 6-axis inertial sensor equipped on the upper arm in addition to a wrist-worn sensor in order to visualize the arm movements in a virtual 3D environment. This eliminates the </w:t>
      </w:r>
      <w:r w:rsidRPr="00290091">
        <w:lastRenderedPageBreak/>
        <w:t xml:space="preserve">need for video recordings while minimally increasing the risk of error. However, the annotation effort remains cumbersome and </w:t>
      </w:r>
      <w:r w:rsidR="0041702C">
        <w:t xml:space="preserve">the data collection </w:t>
      </w:r>
      <w:r w:rsidRPr="00290091">
        <w:t xml:space="preserve">does not scale well to field data, because the additional armband is obtrusive.
</w:t>
      </w:r>
      <w:proofErr w:type="spellStart"/>
      <w:r w:rsidRPr="00290091">
        <w:t>Trabelsi</w:t>
      </w:r>
      <w:proofErr w:type="spellEnd"/>
      <w:r w:rsidRPr="00290091">
        <w:t xml:space="preserve"> et al. </w:t>
      </w:r>
      <w:r w:rsidR="006C6F0D">
        <w:t>[8]</w:t>
      </w:r>
      <w:r w:rsidRPr="00290091">
        <w:t xml:space="preserve"> eliminate the need for training data altogether by using an unsupervised learning approach based on a Hidden Markov Model. While this technique achieves performance comparable to </w:t>
      </w:r>
      <w:proofErr w:type="gramStart"/>
      <w:r w:rsidRPr="00290091">
        <w:t>supervised</w:t>
      </w:r>
      <w:proofErr w:type="gramEnd"/>
      <w:r w:rsidRPr="00290091">
        <w:t xml:space="preserve"> learning approaches, it only provides a partition of the data by class and does not make precise label predictions in the absence of labeled data. When a large number of classes are present or positive labels are sparse, then </w:t>
      </w:r>
      <w:r w:rsidR="006E610B">
        <w:t>abundant</w:t>
      </w:r>
      <w:r w:rsidRPr="00290091">
        <w:t xml:space="preserve"> annotated data once again becomes essential to realize robust, deployable classification systems.
Rec</w:t>
      </w:r>
      <w:r w:rsidR="006C6F0D">
        <w:t xml:space="preserve">ent work by </w:t>
      </w:r>
      <w:proofErr w:type="spellStart"/>
      <w:r w:rsidR="006C6F0D">
        <w:t>Stikic</w:t>
      </w:r>
      <w:proofErr w:type="spellEnd"/>
      <w:r w:rsidR="006C6F0D">
        <w:t xml:space="preserve"> and </w:t>
      </w:r>
      <w:proofErr w:type="spellStart"/>
      <w:r w:rsidR="006C6F0D">
        <w:t>Schiele</w:t>
      </w:r>
      <w:proofErr w:type="spellEnd"/>
      <w:r w:rsidR="006C6F0D">
        <w:t xml:space="preserve"> [7]</w:t>
      </w:r>
      <w:r w:rsidRPr="00290091">
        <w:t xml:space="preserve"> explores the feasibility of using Multi</w:t>
      </w:r>
      <w:r w:rsidR="00AA1245">
        <w:t xml:space="preserve">ple-Instance Learning </w:t>
      </w:r>
      <w:r w:rsidRPr="00290091">
        <w:t>to reduce the labeling effort of activity recognition tasks while incurring minimal additional classification error. Although they show that comparable performance can be achieved with coarse-grained labels, they do not consider the case when the developers provide a small number of fine-grained labels in addition to field data.
In this work we demonstrate the effectiveness of MIL on tim</w:t>
      </w:r>
      <w:bookmarkStart w:id="0" w:name="_GoBack"/>
      <w:bookmarkEnd w:id="0"/>
      <w:r w:rsidRPr="00290091">
        <w:t>e-domain inertial data and evaluate the extent to which session-level and gesture-level labels improve performance. We additionally assess the boost in performance given a sma</w:t>
      </w:r>
      <w:r w:rsidR="00434252">
        <w:t>ll number of fine-grained in contrast to coarse-grained labels</w:t>
      </w:r>
      <w:r w:rsidRPr="00290091">
        <w:t xml:space="preserve"> from the test user in a leave-one-participant-out evaluation.</w:t>
      </w:r>
    </w:p>
    <w:p w14:paraId="0C3EA68D" w14:textId="28532F81" w:rsidR="00595862" w:rsidRPr="00E84F7B" w:rsidRDefault="003E385D" w:rsidP="00E84F7B">
      <w:pPr>
        <w:pStyle w:val="Heading1"/>
        <w:spacing w:before="120" w:after="120"/>
      </w:pPr>
      <w:r>
        <w:lastRenderedPageBreak/>
        <w:t>Multiple-Instance Learning</w:t>
      </w:r>
    </w:p>
    <w:p w14:paraId="29B63D3E" w14:textId="5B48A068" w:rsidR="0086080F" w:rsidRDefault="00374598" w:rsidP="00374598">
      <w:pPr>
        <w:pStyle w:val="Heading1"/>
        <w:numPr>
          <w:ilvl w:val="0"/>
          <w:numId w:val="0"/>
        </w:numPr>
        <w:spacing w:before="120" w:after="120"/>
        <w:jc w:val="both"/>
        <w:rPr>
          <w:rFonts w:eastAsia="SimSun"/>
          <w:smallCaps w:val="0"/>
          <w:spacing w:val="-1"/>
          <w:kern w:val="0"/>
        </w:rPr>
      </w:pPr>
      <w:r>
        <w:rPr>
          <w:rFonts w:eastAsia="SimSun"/>
          <w:smallCaps w:val="0"/>
          <w:spacing w:val="-1"/>
          <w:kern w:val="0"/>
        </w:rPr>
        <w:t xml:space="preserve">     </w:t>
      </w:r>
      <w:r w:rsidR="003E385D" w:rsidRPr="003E385D">
        <w:rPr>
          <w:rFonts w:eastAsia="SimSun"/>
          <w:smallCaps w:val="0"/>
          <w:spacing w:val="-1"/>
          <w:kern w:val="0"/>
        </w:rPr>
        <w:t>In the Multi</w:t>
      </w:r>
      <w:r w:rsidR="0038011C">
        <w:rPr>
          <w:rFonts w:eastAsia="SimSun"/>
          <w:smallCaps w:val="0"/>
          <w:spacing w:val="-1"/>
          <w:kern w:val="0"/>
        </w:rPr>
        <w:t>ple</w:t>
      </w:r>
      <w:r w:rsidR="003E385D" w:rsidRPr="003E385D">
        <w:rPr>
          <w:rFonts w:eastAsia="SimSun"/>
          <w:smallCaps w:val="0"/>
          <w:spacing w:val="-1"/>
          <w:kern w:val="0"/>
        </w:rPr>
        <w:t xml:space="preserve">-Instance Learning (MIL) framework, we jointly </w:t>
      </w:r>
      <w:r w:rsidR="00595862">
        <w:rPr>
          <w:rFonts w:eastAsia="SimSun"/>
          <w:smallCaps w:val="0"/>
          <w:spacing w:val="-1"/>
          <w:kern w:val="0"/>
        </w:rPr>
        <w:t>consider</w:t>
      </w:r>
      <w:r w:rsidR="003E385D" w:rsidRPr="003E385D">
        <w:rPr>
          <w:rFonts w:eastAsia="SimSun"/>
          <w:smallCaps w:val="0"/>
          <w:spacing w:val="-1"/>
          <w:kern w:val="0"/>
        </w:rPr>
        <w:t xml:space="preserve"> instances, the atomic units o</w:t>
      </w:r>
      <w:r w:rsidR="00B92580">
        <w:rPr>
          <w:rFonts w:eastAsia="SimSun"/>
          <w:smallCaps w:val="0"/>
          <w:spacing w:val="-1"/>
          <w:kern w:val="0"/>
        </w:rPr>
        <w:t>ver which predictions are made i.e. gestures</w:t>
      </w:r>
      <w:r w:rsidR="003E385D" w:rsidRPr="003E385D">
        <w:rPr>
          <w:rFonts w:eastAsia="SimSun"/>
          <w:smallCaps w:val="0"/>
          <w:spacing w:val="-1"/>
          <w:kern w:val="0"/>
        </w:rPr>
        <w:t xml:space="preserve">, and bags of instances, which may correspond to sessions or longer, manageable time intervals over which an activity </w:t>
      </w:r>
      <w:r w:rsidR="00B92580">
        <w:rPr>
          <w:rFonts w:eastAsia="SimSun"/>
          <w:smallCaps w:val="0"/>
          <w:spacing w:val="-1"/>
          <w:kern w:val="0"/>
        </w:rPr>
        <w:t xml:space="preserve">is performed. </w:t>
      </w:r>
      <w:r w:rsidR="003E385D" w:rsidRPr="003E385D">
        <w:rPr>
          <w:rFonts w:eastAsia="SimSun"/>
          <w:smallCaps w:val="0"/>
          <w:spacing w:val="-1"/>
          <w:kern w:val="0"/>
        </w:rPr>
        <w:t xml:space="preserve">In the binary setting, each bag is assigned a positive label if at least one instance in the bag is positive; bags with no positive instances are assumed to be negative.
The most naive MIL approach is Single-Instance Learning (SIL) </w:t>
      </w:r>
      <w:r w:rsidR="0006363A">
        <w:rPr>
          <w:rFonts w:eastAsia="SimSun"/>
          <w:smallCaps w:val="0"/>
          <w:spacing w:val="-1"/>
          <w:kern w:val="0"/>
        </w:rPr>
        <w:t xml:space="preserve">[4], </w:t>
      </w:r>
      <w:r w:rsidR="003E385D" w:rsidRPr="003E385D">
        <w:rPr>
          <w:rFonts w:eastAsia="SimSun"/>
          <w:smallCaps w:val="0"/>
          <w:spacing w:val="-1"/>
          <w:kern w:val="0"/>
        </w:rPr>
        <w:t>which makes the usually false assumption that every instance in a positive bag is positive. This reduces the problem to a supervised instance-level classification task</w:t>
      </w:r>
      <w:r w:rsidR="0086080F">
        <w:rPr>
          <w:rFonts w:eastAsia="SimSun"/>
          <w:smallCaps w:val="0"/>
          <w:spacing w:val="-1"/>
          <w:kern w:val="0"/>
        </w:rPr>
        <w:t>.</w:t>
      </w:r>
    </w:p>
    <w:p w14:paraId="57D4608B" w14:textId="6312F555" w:rsidR="00A33179" w:rsidRDefault="0086080F" w:rsidP="00374598">
      <w:pPr>
        <w:pStyle w:val="Heading1"/>
        <w:numPr>
          <w:ilvl w:val="0"/>
          <w:numId w:val="0"/>
        </w:numPr>
        <w:spacing w:before="120" w:after="120"/>
        <w:jc w:val="both"/>
        <w:rPr>
          <w:rFonts w:eastAsia="SimSun"/>
          <w:smallCaps w:val="0"/>
          <w:spacing w:val="-1"/>
          <w:kern w:val="0"/>
        </w:rPr>
      </w:pPr>
      <w:r>
        <w:rPr>
          <w:rFonts w:eastAsia="SimSun"/>
          <w:smallCaps w:val="0"/>
          <w:spacing w:val="-1"/>
          <w:kern w:val="0"/>
        </w:rPr>
        <w:t xml:space="preserve">     </w:t>
      </w:r>
      <w:r w:rsidR="003E385D" w:rsidRPr="003E385D">
        <w:rPr>
          <w:rFonts w:eastAsia="SimSun"/>
          <w:smallCaps w:val="0"/>
          <w:spacing w:val="-1"/>
          <w:kern w:val="0"/>
        </w:rPr>
        <w:t xml:space="preserve">When positive instances are sparse, the SIL assumption significantly hurts the classification performance.
In the activity recognition setting, </w:t>
      </w:r>
      <w:proofErr w:type="spellStart"/>
      <w:r w:rsidR="003E385D" w:rsidRPr="003E385D">
        <w:rPr>
          <w:rFonts w:eastAsia="SimSun"/>
          <w:smallCaps w:val="0"/>
          <w:spacing w:val="-1"/>
          <w:kern w:val="0"/>
        </w:rPr>
        <w:t>Stikic</w:t>
      </w:r>
      <w:proofErr w:type="spellEnd"/>
      <w:r w:rsidR="003E385D" w:rsidRPr="003E385D">
        <w:rPr>
          <w:rFonts w:eastAsia="SimSun"/>
          <w:smallCaps w:val="0"/>
          <w:spacing w:val="-1"/>
          <w:kern w:val="0"/>
        </w:rPr>
        <w:t xml:space="preserve"> and </w:t>
      </w:r>
      <w:proofErr w:type="spellStart"/>
      <w:r w:rsidR="003E385D" w:rsidRPr="003E385D">
        <w:rPr>
          <w:rFonts w:eastAsia="SimSun"/>
          <w:smallCaps w:val="0"/>
          <w:spacing w:val="-1"/>
          <w:kern w:val="0"/>
        </w:rPr>
        <w:t>Schiele</w:t>
      </w:r>
      <w:proofErr w:type="spellEnd"/>
      <w:r w:rsidR="003E385D" w:rsidRPr="003E385D">
        <w:rPr>
          <w:rFonts w:eastAsia="SimSun"/>
          <w:smallCaps w:val="0"/>
          <w:spacing w:val="-1"/>
          <w:kern w:val="0"/>
        </w:rPr>
        <w:t xml:space="preserve"> </w:t>
      </w:r>
      <w:r>
        <w:rPr>
          <w:rFonts w:eastAsia="SimSun"/>
          <w:smallCaps w:val="0"/>
          <w:spacing w:val="-1"/>
          <w:kern w:val="0"/>
        </w:rPr>
        <w:t xml:space="preserve">[7] </w:t>
      </w:r>
      <w:r w:rsidR="003E385D" w:rsidRPr="003E385D">
        <w:rPr>
          <w:rFonts w:eastAsia="SimSun"/>
          <w:smallCaps w:val="0"/>
          <w:spacing w:val="-1"/>
          <w:kern w:val="0"/>
        </w:rPr>
        <w:t>use the Maximum Pattern Margin Formulation (</w:t>
      </w:r>
      <w:proofErr w:type="spellStart"/>
      <w:r w:rsidR="003E385D" w:rsidRPr="003E385D">
        <w:rPr>
          <w:rFonts w:eastAsia="SimSun"/>
          <w:smallCaps w:val="0"/>
          <w:spacing w:val="-1"/>
          <w:kern w:val="0"/>
        </w:rPr>
        <w:t>miSVM</w:t>
      </w:r>
      <w:proofErr w:type="spellEnd"/>
      <w:r w:rsidR="003E385D" w:rsidRPr="003E385D">
        <w:rPr>
          <w:rFonts w:eastAsia="SimSun"/>
          <w:smallCaps w:val="0"/>
          <w:spacing w:val="-1"/>
          <w:kern w:val="0"/>
        </w:rPr>
        <w:t>) originally p</w:t>
      </w:r>
      <w:r w:rsidR="005C1EAA">
        <w:rPr>
          <w:rFonts w:eastAsia="SimSun"/>
          <w:smallCaps w:val="0"/>
          <w:spacing w:val="-1"/>
          <w:kern w:val="0"/>
        </w:rPr>
        <w:t>roposed by Andrews et al. [2]</w:t>
      </w:r>
      <w:r w:rsidR="003E385D" w:rsidRPr="003E385D">
        <w:rPr>
          <w:rFonts w:eastAsia="SimSun"/>
          <w:smallCaps w:val="0"/>
          <w:spacing w:val="-1"/>
          <w:kern w:val="0"/>
        </w:rPr>
        <w:t xml:space="preserve"> in order to account for the </w:t>
      </w:r>
      <w:proofErr w:type="spellStart"/>
      <w:r w:rsidR="003E385D" w:rsidRPr="003E385D">
        <w:rPr>
          <w:rFonts w:eastAsia="SimSun"/>
          <w:smallCaps w:val="0"/>
          <w:spacing w:val="-1"/>
          <w:kern w:val="0"/>
        </w:rPr>
        <w:t>sparsity</w:t>
      </w:r>
      <w:proofErr w:type="spellEnd"/>
      <w:r w:rsidR="003E385D" w:rsidRPr="003E385D">
        <w:rPr>
          <w:rFonts w:eastAsia="SimSun"/>
          <w:smallCaps w:val="0"/>
          <w:spacing w:val="-1"/>
          <w:kern w:val="0"/>
        </w:rPr>
        <w:t xml:space="preserve"> of positive bags. Due to the non-convexity of the objective function, they use a heuristic to learn the separating </w:t>
      </w:r>
      <w:proofErr w:type="spellStart"/>
      <w:r w:rsidR="003E385D" w:rsidRPr="003E385D">
        <w:rPr>
          <w:rFonts w:eastAsia="SimSun"/>
          <w:smallCaps w:val="0"/>
          <w:spacing w:val="-1"/>
          <w:kern w:val="0"/>
        </w:rPr>
        <w:t>hyperplane</w:t>
      </w:r>
      <w:proofErr w:type="spellEnd"/>
      <w:r w:rsidR="003E385D" w:rsidRPr="003E385D">
        <w:rPr>
          <w:rFonts w:eastAsia="SimSun"/>
          <w:smallCaps w:val="0"/>
          <w:spacing w:val="-1"/>
          <w:kern w:val="0"/>
        </w:rPr>
        <w:t xml:space="preserve">. They initially train an SIL SVM, whose decision </w:t>
      </w:r>
      <w:proofErr w:type="spellStart"/>
      <w:r w:rsidR="003E385D" w:rsidRPr="003E385D">
        <w:rPr>
          <w:rFonts w:eastAsia="SimSun"/>
          <w:smallCaps w:val="0"/>
          <w:spacing w:val="-1"/>
          <w:kern w:val="0"/>
        </w:rPr>
        <w:t>hyperplane</w:t>
      </w:r>
      <w:proofErr w:type="spellEnd"/>
      <w:r w:rsidR="003E385D" w:rsidRPr="003E385D">
        <w:rPr>
          <w:rFonts w:eastAsia="SimSun"/>
          <w:smallCaps w:val="0"/>
          <w:spacing w:val="-1"/>
          <w:kern w:val="0"/>
        </w:rPr>
        <w:t xml:space="preserve"> is used to </w:t>
      </w:r>
      <w:proofErr w:type="spellStart"/>
      <w:r w:rsidR="003E385D" w:rsidRPr="003E385D">
        <w:rPr>
          <w:rFonts w:eastAsia="SimSun"/>
          <w:smallCaps w:val="0"/>
          <w:spacing w:val="-1"/>
          <w:kern w:val="0"/>
        </w:rPr>
        <w:t>relabel</w:t>
      </w:r>
      <w:proofErr w:type="spellEnd"/>
      <w:r w:rsidR="003E385D" w:rsidRPr="003E385D">
        <w:rPr>
          <w:rFonts w:eastAsia="SimSun"/>
          <w:smallCaps w:val="0"/>
          <w:spacing w:val="-1"/>
          <w:kern w:val="0"/>
        </w:rPr>
        <w:t xml:space="preserve"> the most positive predictions within positive bags. The SVM is then retrained on the relabeled data and the process is repeated until the labels converge. Although this approach accounts for the </w:t>
      </w:r>
      <w:proofErr w:type="spellStart"/>
      <w:r w:rsidR="003E385D" w:rsidRPr="003E385D">
        <w:rPr>
          <w:rFonts w:eastAsia="SimSun"/>
          <w:smallCaps w:val="0"/>
          <w:spacing w:val="-1"/>
          <w:kern w:val="0"/>
        </w:rPr>
        <w:t>sparsity</w:t>
      </w:r>
      <w:proofErr w:type="spellEnd"/>
      <w:r w:rsidR="003E385D" w:rsidRPr="003E385D">
        <w:rPr>
          <w:rFonts w:eastAsia="SimSun"/>
          <w:smallCaps w:val="0"/>
          <w:spacing w:val="-1"/>
          <w:kern w:val="0"/>
        </w:rPr>
        <w:t xml:space="preserve"> of positive gestures, it tends to over-predict the positive class [?] and has no mechanism to adjust the sensitivity based on know</w:t>
      </w:r>
      <w:r w:rsidR="005C1EAA">
        <w:rPr>
          <w:rFonts w:eastAsia="SimSun"/>
          <w:smallCaps w:val="0"/>
          <w:spacing w:val="-1"/>
          <w:kern w:val="0"/>
        </w:rPr>
        <w:t xml:space="preserve">n density.
</w:t>
      </w:r>
      <w:proofErr w:type="spellStart"/>
      <w:r w:rsidR="005C1EAA">
        <w:rPr>
          <w:rFonts w:eastAsia="SimSun"/>
          <w:smallCaps w:val="0"/>
          <w:spacing w:val="-1"/>
          <w:kern w:val="0"/>
        </w:rPr>
        <w:t>Bunescu</w:t>
      </w:r>
      <w:proofErr w:type="spellEnd"/>
      <w:r w:rsidR="005C1EAA">
        <w:rPr>
          <w:rFonts w:eastAsia="SimSun"/>
          <w:smallCaps w:val="0"/>
          <w:spacing w:val="-1"/>
          <w:kern w:val="0"/>
        </w:rPr>
        <w:t xml:space="preserve"> and Mooney [3]</w:t>
      </w:r>
      <w:r w:rsidR="003E385D" w:rsidRPr="003E385D">
        <w:rPr>
          <w:rFonts w:eastAsia="SimSun"/>
          <w:smallCaps w:val="0"/>
          <w:spacing w:val="-1"/>
          <w:kern w:val="0"/>
        </w:rPr>
        <w:t xml:space="preserve"> deal with the challenge of sparse positive bags by using an adaptive SVM constraint (</w:t>
      </w:r>
      <w:proofErr w:type="spellStart"/>
      <w:r w:rsidR="003E385D" w:rsidRPr="003E385D">
        <w:rPr>
          <w:rFonts w:eastAsia="SimSun"/>
          <w:smallCaps w:val="0"/>
          <w:spacing w:val="-1"/>
          <w:kern w:val="0"/>
        </w:rPr>
        <w:t>sMIL</w:t>
      </w:r>
      <w:proofErr w:type="spellEnd"/>
      <w:r w:rsidR="003E385D" w:rsidRPr="003E385D">
        <w:rPr>
          <w:rFonts w:eastAsia="SimSun"/>
          <w:smallCaps w:val="0"/>
          <w:spacing w:val="-1"/>
          <w:kern w:val="0"/>
        </w:rPr>
        <w:t>). In particular, they formulate the MIL constraint that there exists at least one positive ins</w:t>
      </w:r>
      <w:r w:rsidR="00A33179">
        <w:rPr>
          <w:rFonts w:eastAsia="SimSun"/>
          <w:smallCaps w:val="0"/>
          <w:spacing w:val="-1"/>
          <w:kern w:val="0"/>
        </w:rPr>
        <w:t xml:space="preserve">tance in every positive bag X </w:t>
      </w:r>
      <w:r w:rsidR="003E385D" w:rsidRPr="003E385D">
        <w:rPr>
          <w:rFonts w:eastAsia="SimSun"/>
          <w:smallCaps w:val="0"/>
          <w:spacing w:val="-1"/>
          <w:kern w:val="0"/>
        </w:rPr>
        <w:t xml:space="preserve">as follows
</w:t>
      </w:r>
    </w:p>
    <w:p w14:paraId="561712EE" w14:textId="1E99C355" w:rsidR="00A33179" w:rsidRDefault="00B43B61" w:rsidP="00374598">
      <w:pPr>
        <w:pStyle w:val="Heading1"/>
        <w:numPr>
          <w:ilvl w:val="0"/>
          <w:numId w:val="0"/>
        </w:numPr>
        <w:spacing w:before="120" w:after="120"/>
        <w:jc w:val="both"/>
        <w:rPr>
          <w:rFonts w:eastAsia="SimSun"/>
          <w:smallCaps w:val="0"/>
          <w:spacing w:val="-1"/>
          <w:kern w:val="0"/>
        </w:rPr>
      </w:pPr>
      <w:r>
        <mc:AlternateContent>
          <mc:Choice Requires="wps">
            <w:drawing>
              <wp:anchor distT="0" distB="0" distL="114300" distR="114300" simplePos="0" relativeHeight="251659776" behindDoc="1" locked="0" layoutInCell="1" allowOverlap="1" wp14:anchorId="0BE761CF" wp14:editId="50D88A0B">
                <wp:simplePos x="0" y="0"/>
                <wp:positionH relativeFrom="column">
                  <wp:posOffset>89535</wp:posOffset>
                </wp:positionH>
                <wp:positionV relativeFrom="paragraph">
                  <wp:posOffset>199390</wp:posOffset>
                </wp:positionV>
                <wp:extent cx="2819400" cy="762000"/>
                <wp:effectExtent l="0" t="0" r="0" b="0"/>
                <wp:wrapTight wrapText="bothSides">
                  <wp:wrapPolygon edited="0">
                    <wp:start x="0" y="0"/>
                    <wp:lineTo x="0" y="20880"/>
                    <wp:lineTo x="21405" y="20880"/>
                    <wp:lineTo x="21405"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62000"/>
                        </a:xfrm>
                        <a:prstGeom prst="rect">
                          <a:avLst/>
                        </a:prstGeom>
                        <a:solidFill>
                          <a:srgbClr val="FFFFFF"/>
                        </a:solidFill>
                        <a:ln w="9525">
                          <a:noFill/>
                          <a:miter lim="800000"/>
                          <a:headEnd/>
                          <a:tailEnd/>
                        </a:ln>
                      </wps:spPr>
                      <wps:txbx>
                        <w:txbxContent>
                          <w:p w14:paraId="4CBE6374" w14:textId="6BF85E23" w:rsidR="00921A78" w:rsidRDefault="00921A78" w:rsidP="00B43B61">
                            <w:pPr>
                              <w:pStyle w:val="BodyText"/>
                            </w:pPr>
                            <w:r>
                              <w:rPr>
                                <w:noProof/>
                              </w:rPr>
                              <w:drawing>
                                <wp:inline distT="0" distB="0" distL="0" distR="0" wp14:anchorId="4B9FE456" wp14:editId="15F2BBE8">
                                  <wp:extent cx="1854835" cy="6587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1.09.00 AM.png"/>
                                          <pic:cNvPicPr/>
                                        </pic:nvPicPr>
                                        <pic:blipFill>
                                          <a:blip r:embed="rId9">
                                            <a:extLst>
                                              <a:ext uri="{28A0092B-C50C-407E-A947-70E740481C1C}">
                                                <a14:useLocalDpi xmlns:a14="http://schemas.microsoft.com/office/drawing/2010/main" val="0"/>
                                              </a:ext>
                                            </a:extLst>
                                          </a:blip>
                                          <a:stretch>
                                            <a:fillRect/>
                                          </a:stretch>
                                        </pic:blipFill>
                                        <pic:spPr>
                                          <a:xfrm>
                                            <a:off x="0" y="0"/>
                                            <a:ext cx="1856676" cy="65936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7.05pt;margin-top:15.7pt;width:222pt;height:6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" stroked="f">
                <v:textbox>
                  <w:txbxContent>
                    <w:p w14:paraId="4CBE6374" w14:textId="6BF85E23" w:rsidR="00921A78" w:rsidRDefault="00921A78" w:rsidP="00B43B61">
                      <w:pPr>
                        <w:pStyle w:val="BodyText"/>
                      </w:pPr>
                      <w:r>
                        <w:rPr>
                          <w:noProof/>
                        </w:rPr>
                        <w:drawing>
                          <wp:inline distT="0" distB="0" distL="0" distR="0" wp14:anchorId="4B9FE456" wp14:editId="15F2BBE8">
                            <wp:extent cx="1854835" cy="6587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1.09.00 AM.png"/>
                                    <pic:cNvPicPr/>
                                  </pic:nvPicPr>
                                  <pic:blipFill>
                                    <a:blip r:embed="rId9">
                                      <a:extLst>
                                        <a:ext uri="{28A0092B-C50C-407E-A947-70E740481C1C}">
                                          <a14:useLocalDpi xmlns:a14="http://schemas.microsoft.com/office/drawing/2010/main" val="0"/>
                                        </a:ext>
                                      </a:extLst>
                                    </a:blip>
                                    <a:stretch>
                                      <a:fillRect/>
                                    </a:stretch>
                                  </pic:blipFill>
                                  <pic:spPr>
                                    <a:xfrm>
                                      <a:off x="0" y="0"/>
                                      <a:ext cx="1856676" cy="659366"/>
                                    </a:xfrm>
                                    <a:prstGeom prst="rect">
                                      <a:avLst/>
                                    </a:prstGeom>
                                  </pic:spPr>
                                </pic:pic>
                              </a:graphicData>
                            </a:graphic>
                          </wp:inline>
                        </w:drawing>
                      </w:r>
                    </w:p>
                  </w:txbxContent>
                </v:textbox>
                <w10:wrap type="tight"/>
              </v:shape>
            </w:pict>
          </mc:Fallback>
        </mc:AlternateContent>
      </w:r>
      <w:r w:rsidR="003E385D" w:rsidRPr="003E385D">
        <w:rPr>
          <w:rFonts w:eastAsia="SimSun"/>
          <w:smallCaps w:val="0"/>
          <w:spacing w:val="-1"/>
          <w:kern w:val="0"/>
        </w:rPr>
        <w:t xml:space="preserve">
</w:t>
      </w:r>
    </w:p>
    <w:p w14:paraId="3FA415D4" w14:textId="1F64C7C9" w:rsidR="003E385D" w:rsidRPr="003E385D" w:rsidRDefault="00B43B61" w:rsidP="00374598">
      <w:pPr>
        <w:pStyle w:val="Heading1"/>
        <w:numPr>
          <w:ilvl w:val="0"/>
          <w:numId w:val="0"/>
        </w:numPr>
        <w:spacing w:before="120" w:after="120"/>
        <w:jc w:val="both"/>
      </w:pPr>
      <w:proofErr w:type="gramStart"/>
      <w:r>
        <w:rPr>
          <w:rFonts w:eastAsia="SimSun"/>
          <w:smallCaps w:val="0"/>
          <w:spacing w:val="-1"/>
          <w:kern w:val="0"/>
        </w:rPr>
        <w:t>where</w:t>
      </w:r>
      <w:proofErr w:type="gramEnd"/>
      <w:r>
        <w:rPr>
          <w:rFonts w:eastAsia="SimSun"/>
          <w:smallCaps w:val="0"/>
          <w:spacing w:val="-1"/>
          <w:kern w:val="0"/>
        </w:rPr>
        <w:t xml:space="preserve"> </w:t>
      </w:r>
      <w:r w:rsidR="00A33179">
        <w:rPr>
          <w:rFonts w:eastAsia="SimSun"/>
          <w:smallCaps w:val="0"/>
          <w:spacing w:val="-1"/>
          <w:kern w:val="0"/>
        </w:rPr>
        <w:t xml:space="preserve">1/|X| </w:t>
      </w:r>
      <w:r w:rsidR="003E385D" w:rsidRPr="003E385D">
        <w:rPr>
          <w:rFonts w:eastAsia="SimSun"/>
          <w:smallCaps w:val="0"/>
          <w:spacing w:val="-1"/>
          <w:kern w:val="0"/>
        </w:rPr>
        <w:t xml:space="preserve">w </w:t>
      </w:r>
      <w:r w:rsidR="00A33179" w:rsidRPr="00A33179">
        <w:rPr>
          <w:rFonts w:ascii="Symbol" w:eastAsia="SimSun" w:hAnsi="Symbol"/>
          <w:smallCaps w:val="0"/>
          <w:spacing w:val="-1"/>
          <w:kern w:val="0"/>
        </w:rPr>
        <w:t></w:t>
      </w:r>
      <w:r w:rsidR="00A33179">
        <w:rPr>
          <w:rFonts w:eastAsia="SimSun"/>
          <w:smallCaps w:val="0"/>
          <w:spacing w:val="-1"/>
          <w:kern w:val="0"/>
        </w:rPr>
        <w:t xml:space="preserve">(X) </w:t>
      </w:r>
      <w:r>
        <w:rPr>
          <w:rFonts w:eastAsia="SimSun"/>
          <w:smallCaps w:val="0"/>
          <w:spacing w:val="-1"/>
          <w:kern w:val="0"/>
        </w:rPr>
        <w:t>+ b</w:t>
      </w:r>
      <w:r w:rsidR="003E385D" w:rsidRPr="003E385D">
        <w:rPr>
          <w:rFonts w:eastAsia="SimSun"/>
          <w:smallCaps w:val="0"/>
          <w:spacing w:val="-1"/>
          <w:kern w:val="0"/>
        </w:rPr>
        <w:t xml:space="preserve"> is the normalized prediction scores under the feature function </w:t>
      </w:r>
      <w:r w:rsidR="00A33179" w:rsidRPr="00A33179">
        <w:rPr>
          <w:rFonts w:ascii="Symbol" w:eastAsia="SimSun" w:hAnsi="Symbol"/>
          <w:smallCaps w:val="0"/>
          <w:spacing w:val="-1"/>
          <w:kern w:val="0"/>
        </w:rPr>
        <w:t></w:t>
      </w:r>
      <w:r w:rsidR="00A33179">
        <w:rPr>
          <w:rFonts w:eastAsia="SimSun"/>
          <w:smallCaps w:val="0"/>
          <w:spacing w:val="-1"/>
          <w:kern w:val="0"/>
        </w:rPr>
        <w:t xml:space="preserve">, weights </w:t>
      </w:r>
      <w:r w:rsidR="00A33179" w:rsidRPr="00A33179">
        <w:rPr>
          <w:rFonts w:eastAsia="SimSun"/>
          <w:i/>
          <w:smallCaps w:val="0"/>
          <w:spacing w:val="-1"/>
          <w:kern w:val="0"/>
        </w:rPr>
        <w:t>w</w:t>
      </w:r>
      <w:r w:rsidR="003E385D" w:rsidRPr="003E385D">
        <w:rPr>
          <w:rFonts w:eastAsia="SimSun"/>
          <w:smallCaps w:val="0"/>
          <w:spacing w:val="-1"/>
          <w:kern w:val="0"/>
        </w:rPr>
        <w:t xml:space="preserve"> and</w:t>
      </w:r>
      <w:r w:rsidR="00A33179">
        <w:rPr>
          <w:rFonts w:eastAsia="SimSun"/>
          <w:smallCaps w:val="0"/>
          <w:spacing w:val="-1"/>
          <w:kern w:val="0"/>
        </w:rPr>
        <w:t xml:space="preserve"> bias </w:t>
      </w:r>
      <w:r w:rsidR="00A33179" w:rsidRPr="00A33179">
        <w:rPr>
          <w:rFonts w:eastAsia="SimSun"/>
          <w:i/>
          <w:smallCaps w:val="0"/>
          <w:spacing w:val="-1"/>
          <w:kern w:val="0"/>
        </w:rPr>
        <w:t>b</w:t>
      </w:r>
      <w:r w:rsidR="00A33179">
        <w:rPr>
          <w:rFonts w:eastAsia="SimSun"/>
          <w:smallCaps w:val="0"/>
          <w:spacing w:val="-1"/>
          <w:kern w:val="0"/>
        </w:rPr>
        <w:t xml:space="preserve">, and </w:t>
      </w:r>
      <w:r w:rsidR="00A33179" w:rsidRPr="00A33179">
        <w:rPr>
          <w:rFonts w:ascii="Symbol" w:eastAsia="SimSun" w:hAnsi="Symbol"/>
          <w:smallCaps w:val="0"/>
          <w:spacing w:val="-1"/>
          <w:kern w:val="0"/>
        </w:rPr>
        <w:t></w:t>
      </w:r>
      <w:r w:rsidR="00A33179" w:rsidRPr="00B43B61">
        <w:rPr>
          <w:rFonts w:eastAsia="SimSun"/>
          <w:smallCaps w:val="0"/>
          <w:spacing w:val="-1"/>
          <w:kern w:val="0"/>
          <w:vertAlign w:val="subscript"/>
        </w:rPr>
        <w:t>X</w:t>
      </w:r>
      <w:r w:rsidR="003E385D" w:rsidRPr="003E385D">
        <w:rPr>
          <w:rFonts w:eastAsia="SimSun"/>
          <w:smallCaps w:val="0"/>
          <w:spacing w:val="-1"/>
          <w:kern w:val="0"/>
        </w:rPr>
        <w:t xml:space="preserve"> is the non-negative slack parameter that allows some extent of misclassification of instances in </w:t>
      </w:r>
      <w:r>
        <w:rPr>
          <w:rFonts w:eastAsia="SimSun"/>
          <w:smallCaps w:val="0"/>
          <w:spacing w:val="-1"/>
          <w:kern w:val="0"/>
        </w:rPr>
        <w:t>X</w:t>
      </w:r>
      <w:r w:rsidR="003E385D" w:rsidRPr="003E385D">
        <w:rPr>
          <w:rFonts w:eastAsia="SimSun"/>
          <w:smallCaps w:val="0"/>
          <w:spacing w:val="-1"/>
          <w:kern w:val="0"/>
        </w:rPr>
        <w:t xml:space="preserve"> to avoid over-fitting the model to the training data. When the bag size </w:t>
      </w:r>
      <w:r>
        <w:rPr>
          <w:rFonts w:eastAsia="SimSun"/>
          <w:smallCaps w:val="0"/>
          <w:spacing w:val="-1"/>
          <w:kern w:val="0"/>
        </w:rPr>
        <w:t xml:space="preserve">|X| </w:t>
      </w:r>
      <w:r w:rsidR="003E385D" w:rsidRPr="003E385D">
        <w:rPr>
          <w:rFonts w:eastAsia="SimSun"/>
          <w:smallCaps w:val="0"/>
          <w:spacing w:val="-1"/>
          <w:kern w:val="0"/>
        </w:rPr>
        <w:t xml:space="preserve">is small, the right-hand side becomes larger, suggesting that smaller positive bags are more informative.
</w:t>
      </w:r>
      <w:proofErr w:type="spellStart"/>
      <w:r w:rsidR="003E385D" w:rsidRPr="003E385D">
        <w:rPr>
          <w:rFonts w:eastAsia="SimSun"/>
          <w:smallCaps w:val="0"/>
          <w:spacing w:val="-1"/>
          <w:kern w:val="0"/>
        </w:rPr>
        <w:t>Bunescu</w:t>
      </w:r>
      <w:proofErr w:type="spellEnd"/>
      <w:r w:rsidR="003E385D" w:rsidRPr="003E385D">
        <w:rPr>
          <w:rFonts w:eastAsia="SimSun"/>
          <w:smallCaps w:val="0"/>
          <w:spacing w:val="-1"/>
          <w:kern w:val="0"/>
        </w:rPr>
        <w:t xml:space="preserve"> and Mooney additionally introd</w:t>
      </w:r>
      <w:r>
        <w:rPr>
          <w:rFonts w:eastAsia="SimSun"/>
          <w:smallCaps w:val="0"/>
          <w:spacing w:val="-1"/>
          <w:kern w:val="0"/>
        </w:rPr>
        <w:t xml:space="preserve">uce a balancing parameter </w:t>
      </w:r>
      <w:r w:rsidRPr="00B43B61">
        <w:rPr>
          <w:rFonts w:ascii="Symbol" w:eastAsia="SimSun" w:hAnsi="Symbol"/>
          <w:smallCaps w:val="0"/>
          <w:spacing w:val="-1"/>
          <w:kern w:val="0"/>
        </w:rPr>
        <w:t></w:t>
      </w:r>
      <w:r w:rsidR="003E385D" w:rsidRPr="003E385D">
        <w:rPr>
          <w:rFonts w:eastAsia="SimSun"/>
          <w:smallCaps w:val="0"/>
          <w:spacing w:val="-1"/>
          <w:kern w:val="0"/>
        </w:rPr>
        <w:t>, indicating the expected class distribution of instances within bags. The sparse balancing MIL (</w:t>
      </w:r>
      <w:proofErr w:type="spellStart"/>
      <w:r w:rsidR="003E385D" w:rsidRPr="003E385D">
        <w:rPr>
          <w:rFonts w:eastAsia="SimSun"/>
          <w:smallCaps w:val="0"/>
          <w:spacing w:val="-1"/>
          <w:kern w:val="0"/>
        </w:rPr>
        <w:t>sbMIL</w:t>
      </w:r>
      <w:proofErr w:type="spellEnd"/>
      <w:r w:rsidR="003E385D" w:rsidRPr="003E385D">
        <w:rPr>
          <w:rFonts w:eastAsia="SimSun"/>
          <w:smallCaps w:val="0"/>
          <w:spacing w:val="-1"/>
          <w:kern w:val="0"/>
        </w:rPr>
        <w:t xml:space="preserve">) approach initially trains a </w:t>
      </w:r>
      <w:proofErr w:type="spellStart"/>
      <w:r w:rsidR="003E385D" w:rsidRPr="003E385D">
        <w:rPr>
          <w:rFonts w:eastAsia="SimSun"/>
          <w:smallCaps w:val="0"/>
          <w:spacing w:val="-1"/>
          <w:kern w:val="0"/>
        </w:rPr>
        <w:t>sMIL</w:t>
      </w:r>
      <w:proofErr w:type="spellEnd"/>
      <w:r w:rsidR="003E385D" w:rsidRPr="003E385D">
        <w:rPr>
          <w:rFonts w:eastAsia="SimSun"/>
          <w:smallCaps w:val="0"/>
          <w:spacing w:val="-1"/>
          <w:kern w:val="0"/>
        </w:rPr>
        <w:t xml:space="preserve"> classifier, then </w:t>
      </w:r>
      <w:proofErr w:type="spellStart"/>
      <w:r w:rsidR="003E385D" w:rsidRPr="003E385D">
        <w:rPr>
          <w:rFonts w:eastAsia="SimSun"/>
          <w:smallCaps w:val="0"/>
          <w:spacing w:val="-1"/>
          <w:kern w:val="0"/>
        </w:rPr>
        <w:t>relabels</w:t>
      </w:r>
      <w:proofErr w:type="spellEnd"/>
      <w:r w:rsidR="003E385D" w:rsidRPr="003E385D">
        <w:rPr>
          <w:rFonts w:eastAsia="SimSun"/>
          <w:smallCaps w:val="0"/>
          <w:spacing w:val="-1"/>
          <w:kern w:val="0"/>
        </w:rPr>
        <w:t xml:space="preserve"> </w:t>
      </w:r>
      <w:r w:rsidR="00A33179">
        <w:rPr>
          <w:rFonts w:ascii="Symbol" w:eastAsia="SimSun" w:hAnsi="Symbol"/>
          <w:smallCaps w:val="0"/>
          <w:spacing w:val="-1"/>
          <w:kern w:val="0"/>
        </w:rPr>
        <w:t></w:t>
      </w:r>
      <w:r w:rsidR="00A33179">
        <w:rPr>
          <w:rFonts w:eastAsia="SimSun"/>
          <w:smallCaps w:val="0"/>
          <w:spacing w:val="-1"/>
          <w:kern w:val="0"/>
        </w:rPr>
        <w:t xml:space="preserve">|X| </w:t>
      </w:r>
      <w:r w:rsidR="003E385D" w:rsidRPr="003E385D">
        <w:rPr>
          <w:rFonts w:eastAsia="SimSun"/>
          <w:smallCaps w:val="0"/>
          <w:spacing w:val="-1"/>
          <w:kern w:val="0"/>
        </w:rPr>
        <w:t xml:space="preserve">most positive instances as positive and the remaining instances as negative. The final </w:t>
      </w:r>
      <w:proofErr w:type="spellStart"/>
      <w:r w:rsidR="003E385D" w:rsidRPr="003E385D">
        <w:rPr>
          <w:rFonts w:eastAsia="SimSun"/>
          <w:smallCaps w:val="0"/>
          <w:spacing w:val="-1"/>
          <w:kern w:val="0"/>
        </w:rPr>
        <w:t>hyperplane</w:t>
      </w:r>
      <w:proofErr w:type="spellEnd"/>
      <w:r w:rsidR="003E385D" w:rsidRPr="003E385D">
        <w:rPr>
          <w:rFonts w:eastAsia="SimSun"/>
          <w:smallCaps w:val="0"/>
          <w:spacing w:val="-1"/>
          <w:kern w:val="0"/>
        </w:rPr>
        <w:t xml:space="preserve"> is then learned using SIL given the relabeled data.
In this work we employ the </w:t>
      </w:r>
      <w:proofErr w:type="spellStart"/>
      <w:r w:rsidR="003E385D" w:rsidRPr="003E385D">
        <w:rPr>
          <w:rFonts w:eastAsia="SimSun"/>
          <w:smallCaps w:val="0"/>
          <w:spacing w:val="-1"/>
          <w:kern w:val="0"/>
        </w:rPr>
        <w:t>sbMIL</w:t>
      </w:r>
      <w:proofErr w:type="spellEnd"/>
      <w:r w:rsidR="003E385D" w:rsidRPr="003E385D">
        <w:rPr>
          <w:rFonts w:eastAsia="SimSun"/>
          <w:smallCaps w:val="0"/>
          <w:spacing w:val="-1"/>
          <w:kern w:val="0"/>
        </w:rPr>
        <w:t xml:space="preserve"> implementation provided in </w:t>
      </w:r>
      <w:r w:rsidR="008569CB">
        <w:rPr>
          <w:rFonts w:eastAsia="SimSun"/>
          <w:smallCaps w:val="0"/>
          <w:spacing w:val="-1"/>
          <w:kern w:val="0"/>
        </w:rPr>
        <w:t xml:space="preserve">[4] </w:t>
      </w:r>
      <w:r w:rsidR="003E385D" w:rsidRPr="003E385D">
        <w:rPr>
          <w:rFonts w:eastAsia="SimSun"/>
          <w:smallCaps w:val="0"/>
          <w:spacing w:val="-1"/>
          <w:kern w:val="0"/>
        </w:rPr>
        <w:t xml:space="preserve">due to the </w:t>
      </w:r>
      <w:proofErr w:type="spellStart"/>
      <w:r w:rsidR="003E385D" w:rsidRPr="003E385D">
        <w:rPr>
          <w:rFonts w:eastAsia="SimSun"/>
          <w:smallCaps w:val="0"/>
          <w:spacing w:val="-1"/>
          <w:kern w:val="0"/>
        </w:rPr>
        <w:t>sparsity</w:t>
      </w:r>
      <w:proofErr w:type="spellEnd"/>
      <w:r w:rsidR="003E385D" w:rsidRPr="003E385D">
        <w:rPr>
          <w:rFonts w:eastAsia="SimSun"/>
          <w:smallCaps w:val="0"/>
          <w:spacing w:val="-1"/>
          <w:kern w:val="0"/>
        </w:rPr>
        <w:t xml:space="preserve"> of positive instances</w:t>
      </w:r>
      <w:r w:rsidR="003E385D">
        <w:rPr>
          <w:rFonts w:eastAsia="SimSun"/>
          <w:smallCaps w:val="0"/>
          <w:spacing w:val="-1"/>
          <w:kern w:val="0"/>
        </w:rPr>
        <w:t>.</w:t>
      </w:r>
    </w:p>
    <w:p w14:paraId="33C01DEB" w14:textId="5E0420B7" w:rsidR="00C2692F" w:rsidRDefault="00A33179" w:rsidP="003E385D">
      <w:pPr>
        <w:pStyle w:val="Heading1"/>
        <w:spacing w:before="120" w:after="120"/>
      </w:pPr>
      <w:r>
        <w:t>Data</w:t>
      </w:r>
    </w:p>
    <w:p w14:paraId="342C3966" w14:textId="755C3572" w:rsidR="00C2692F" w:rsidRPr="005B520E" w:rsidRDefault="00A33179" w:rsidP="00A33179">
      <w:pPr>
        <w:pStyle w:val="BodyText"/>
        <w:ind w:firstLine="0"/>
      </w:pPr>
      <w:r>
        <w:t xml:space="preserve">     </w:t>
      </w:r>
      <w:r w:rsidRPr="00A33179">
        <w:t xml:space="preserve">In order to reason in a practical sense about the trade-off between performance and labeling effort under the MIL </w:t>
      </w:r>
      <w:r w:rsidRPr="00A33179">
        <w:lastRenderedPageBreak/>
        <w:t xml:space="preserve">formulation, we perform several evaluations on two existing datasets: the lab-20 eating dataset developed by Edison </w:t>
      </w:r>
      <w:proofErr w:type="spellStart"/>
      <w:r w:rsidRPr="00A33179">
        <w:t>Thomaz</w:t>
      </w:r>
      <w:proofErr w:type="spellEnd"/>
      <w:r w:rsidRPr="00A33179">
        <w:t xml:space="preserve"> </w:t>
      </w:r>
      <w:r>
        <w:t>[5]</w:t>
      </w:r>
      <w:r w:rsidRPr="00A33179">
        <w:t xml:space="preserve"> and the </w:t>
      </w:r>
      <w:proofErr w:type="spellStart"/>
      <w:r w:rsidRPr="00A33179">
        <w:t>RisQ</w:t>
      </w:r>
      <w:proofErr w:type="spellEnd"/>
      <w:r w:rsidRPr="00A33179">
        <w:t xml:space="preserve"> smoking data</w:t>
      </w:r>
      <w:r>
        <w:t xml:space="preserve">set developed by </w:t>
      </w:r>
      <w:proofErr w:type="spellStart"/>
      <w:r>
        <w:t>Parate</w:t>
      </w:r>
      <w:proofErr w:type="spellEnd"/>
      <w:r>
        <w:t xml:space="preserve"> et al. [1].</w:t>
      </w:r>
      <w:r w:rsidRPr="00A33179">
        <w:t xml:space="preserve"> In order to assess how well the model generalizes to unseen users, we perform leave-one-participant-out (LOPO) evaluations; that is, the model is trained on all but one participant and then evaluated on the held out participant.</w:t>
      </w:r>
    </w:p>
    <w:p w14:paraId="1FA2C4DD" w14:textId="2C331CA1" w:rsidR="00C2692F" w:rsidRDefault="00C2692F" w:rsidP="00C2692F">
      <w:pPr>
        <w:pStyle w:val="Heading2"/>
        <w:keepLines/>
        <w:numPr>
          <w:ilvl w:val="1"/>
          <w:numId w:val="0"/>
        </w:numPr>
        <w:tabs>
          <w:tab w:val="num" w:pos="360"/>
        </w:tabs>
        <w:autoSpaceDE/>
        <w:autoSpaceDN/>
        <w:ind w:left="288" w:hanging="288"/>
      </w:pPr>
      <w:r>
        <w:t xml:space="preserve">A. </w:t>
      </w:r>
      <w:r>
        <w:tab/>
      </w:r>
      <w:r w:rsidR="00A33179">
        <w:t>Lab-20 Eating</w:t>
      </w:r>
    </w:p>
    <w:p w14:paraId="2AB3161D" w14:textId="77777777" w:rsidR="005609FF" w:rsidRDefault="00A33179" w:rsidP="00A33179">
      <w:pPr>
        <w:pStyle w:val="BodyText"/>
        <w:ind w:firstLine="0"/>
      </w:pPr>
      <w:r>
        <w:t xml:space="preserve">     </w:t>
      </w:r>
      <w:r w:rsidRPr="00A33179">
        <w:t>The lab-20 eating dataset comprises of 25Hz 3-axis accelerometer data collected using a wrist-worn inertial sensor from 20 individuals. Individuals were provided food to eat and were asked to perform other possible confounding actions as they please, including talking on the phone, brushing their teeth and combing their hair. The average duration across participants is 31 minutes 21 seconds and comprises of appro</w:t>
      </w:r>
      <w:r>
        <w:t>ximately 48</w:t>
      </w:r>
      <w:r w:rsidRPr="00A33179">
        <w:t xml:space="preserve">% eating sessions. Note, however, that the proportion of eating gestures is much smaller, since non-eating gestures are frequently present within eating sessions.
We use </w:t>
      </w:r>
      <w:proofErr w:type="spellStart"/>
      <w:r w:rsidRPr="00A33179">
        <w:t>Thomaz's</w:t>
      </w:r>
      <w:proofErr w:type="spellEnd"/>
      <w:r w:rsidRPr="00A33179">
        <w:t xml:space="preserve"> evaluation as the baseline result for comparison. In his work, he uses a Random Forest classifier over 15 statistical features (mean, variance, skew, kurtosis and root mean square over each axis) extracted over windows of 6 seconds with 50\% overlap. This generates 12379 labeled instances, of which 1480 (11.96\%) are eating. He reports a 0.42 average f1 score over LOPO evaluations. We achieve the same performance using a linear SVM on the entire dataset. </w:t>
      </w:r>
    </w:p>
    <w:p w14:paraId="09121073" w14:textId="1DED1198" w:rsidR="00C2692F" w:rsidRDefault="005609FF" w:rsidP="005609FF">
      <w:pPr>
        <w:pStyle w:val="Heading2"/>
        <w:keepLines/>
        <w:numPr>
          <w:ilvl w:val="1"/>
          <w:numId w:val="0"/>
        </w:numPr>
        <w:tabs>
          <w:tab w:val="num" w:pos="360"/>
        </w:tabs>
        <w:autoSpaceDE/>
        <w:autoSpaceDN/>
        <w:ind w:left="288" w:hanging="288"/>
      </w:pPr>
      <w:r>
        <w:t xml:space="preserve">B. </w:t>
      </w:r>
      <w:r>
        <w:tab/>
      </w:r>
      <w:proofErr w:type="spellStart"/>
      <w:r>
        <w:t>RisQ</w:t>
      </w:r>
      <w:proofErr w:type="spellEnd"/>
      <w:r w:rsidR="00CB2C4C">
        <w:t xml:space="preserve"> data</w:t>
      </w:r>
    </w:p>
    <w:p w14:paraId="6A765920" w14:textId="77777777" w:rsidR="005609FF" w:rsidRPr="005609FF" w:rsidRDefault="005609FF" w:rsidP="005609FF"/>
    <w:p w14:paraId="703AAE85" w14:textId="77777777" w:rsidR="005609FF" w:rsidRDefault="005609FF" w:rsidP="005609FF">
      <w:pPr>
        <w:pStyle w:val="BodyText"/>
        <w:ind w:firstLine="0"/>
      </w:pPr>
      <w:r>
        <w:t xml:space="preserve">     </w:t>
      </w:r>
      <w:r w:rsidRPr="005609FF">
        <w:t xml:space="preserve">The </w:t>
      </w:r>
      <w:proofErr w:type="spellStart"/>
      <w:r w:rsidRPr="005609FF">
        <w:t>RisQ</w:t>
      </w:r>
      <w:proofErr w:type="spellEnd"/>
      <w:r w:rsidRPr="005609FF">
        <w:t xml:space="preserve"> smoking dataset consists of 50Hz fused 9-axis inertial data in the form of quaternions from 14 subjects. The raw data stream is converted into a local trajectory in 3D space. Classification is done using a Random Forest, followed by a Conditional Random Field for smoothing predictions, over feature vectors of candidate windows identified by locating peak-trough-peak patterns indicative of smoking gestures. There are 11</w:t>
      </w:r>
      <w:r>
        <w:t>,</w:t>
      </w:r>
      <w:r w:rsidRPr="005609FF">
        <w:t>900 candid</w:t>
      </w:r>
      <w:r>
        <w:t>ate windows, of which 358 (3.00</w:t>
      </w:r>
      <w:r w:rsidRPr="005609FF">
        <w:t xml:space="preserve">%) are smoking gestures. A total of 37 features are extracted, including angular, velocity, displacement and duration features. </w:t>
      </w:r>
      <w:proofErr w:type="spellStart"/>
      <w:r w:rsidRPr="005609FF">
        <w:t>Parate</w:t>
      </w:r>
      <w:proofErr w:type="spellEnd"/>
      <w:r w:rsidRPr="005609FF">
        <w:t xml:space="preserve"> et al</w:t>
      </w:r>
      <w:r>
        <w:t>. report a LOPO precision of 91</w:t>
      </w:r>
      <w:r w:rsidRPr="005609FF">
        <w:t>% and</w:t>
      </w:r>
      <w:r>
        <w:t xml:space="preserve"> recall of 81</w:t>
      </w:r>
      <w:r w:rsidRPr="005609FF">
        <w:t xml:space="preserve">%, which </w:t>
      </w:r>
      <w:r>
        <w:t>corresponds to f1 score of 85.7</w:t>
      </w:r>
      <w:r w:rsidRPr="005609FF">
        <w:t xml:space="preserve">%.
In our work, we use the same computational pipeline but replace the Random Forest classifier with </w:t>
      </w:r>
      <w:proofErr w:type="gramStart"/>
      <w:r w:rsidRPr="005609FF">
        <w:t>a</w:t>
      </w:r>
      <w:proofErr w:type="gramEnd"/>
      <w:r w:rsidRPr="005609FF">
        <w:t xml:space="preserve"> </w:t>
      </w:r>
      <w:proofErr w:type="spellStart"/>
      <w:r w:rsidRPr="005609FF">
        <w:t>sbMIL</w:t>
      </w:r>
      <w:proofErr w:type="spellEnd"/>
      <w:r w:rsidRPr="005609FF">
        <w:t xml:space="preserve"> classifier to allow for sparse labels.</w:t>
      </w:r>
    </w:p>
    <w:p w14:paraId="4ECBF477" w14:textId="79A4E921" w:rsidR="00C2692F" w:rsidRDefault="005609FF" w:rsidP="00C2692F">
      <w:pPr>
        <w:pStyle w:val="Heading1"/>
        <w:spacing w:before="120" w:after="120"/>
      </w:pPr>
      <w:r>
        <w:t>Experimental Setup</w:t>
      </w:r>
    </w:p>
    <w:p w14:paraId="2D41CCBC" w14:textId="77777777" w:rsidR="006A126A" w:rsidRDefault="00EB336E" w:rsidP="00EB336E">
      <w:pPr>
        <w:pStyle w:val="BodyText"/>
        <w:ind w:firstLine="0"/>
        <w:rPr>
          <w:i/>
        </w:rPr>
      </w:pPr>
      <w:r>
        <w:t xml:space="preserve">     </w:t>
      </w:r>
      <w:r w:rsidRPr="00EB336E">
        <w:t xml:space="preserve">In order to reason about the effectiveness of MIL techniques in gesture recognition, we evaluate the average LOPO performance for various bag sizes. </w:t>
      </w:r>
      <w:r>
        <w:t>Fig. 1</w:t>
      </w:r>
      <w:r w:rsidRPr="00EB336E">
        <w:t xml:space="preserve"> shows that for the Lab-20 eating dataset as the bag size decreases, the performance of each MIL technique drops, and it is upper bounded by the baseline SVM performance.
Evidently, the performance is greater given more </w:t>
      </w:r>
      <w:proofErr w:type="gramStart"/>
      <w:r w:rsidRPr="00EB336E">
        <w:t>finely-grained</w:t>
      </w:r>
      <w:proofErr w:type="gramEnd"/>
      <w:r w:rsidRPr="00EB336E">
        <w:t xml:space="preserve"> labels. However, given that these labels may be difficult to acquire, we must ask: How many such labels do we need?
In order to address this, we evaluate </w:t>
      </w:r>
      <w:r w:rsidR="006A126A">
        <w:t xml:space="preserve">several experiments in which </w:t>
      </w:r>
      <w:r w:rsidR="006A126A" w:rsidRPr="006A126A">
        <w:rPr>
          <w:i/>
        </w:rPr>
        <w:t>M</w:t>
      </w:r>
      <w:r w:rsidRPr="00EB336E">
        <w:t xml:space="preserve"> fine-grained labels are provided over a fixe</w:t>
      </w:r>
      <w:r w:rsidR="006A126A">
        <w:t xml:space="preserve">d number of participants and </w:t>
      </w:r>
      <w:proofErr w:type="gramStart"/>
      <w:r w:rsidR="006A126A" w:rsidRPr="006A126A">
        <w:rPr>
          <w:i/>
        </w:rPr>
        <w:t>N</w:t>
      </w:r>
      <w:r w:rsidRPr="00EB336E">
        <w:t xml:space="preserve"> coarse-grained labels are provided by the remaining participants</w:t>
      </w:r>
      <w:proofErr w:type="gramEnd"/>
      <w:r w:rsidRPr="00EB336E">
        <w:t xml:space="preserve">. In the Lab-20 dataset, fine-grained </w:t>
      </w:r>
      <w:r w:rsidRPr="00EB336E">
        <w:lastRenderedPageBreak/>
        <w:t xml:space="preserve">labels are acquired from 5 participants and coarse-grained labels from the remaining 14 participants. In the </w:t>
      </w:r>
      <w:proofErr w:type="spellStart"/>
      <w:r w:rsidRPr="00EB336E">
        <w:t>RisQ</w:t>
      </w:r>
      <w:proofErr w:type="spellEnd"/>
      <w:r w:rsidRPr="00EB336E">
        <w:t xml:space="preserve"> dataset, they are acquired from 5 and 8 participants respectively. The coarse-grained labels may either be labeled sessions, which may vary in duration, or partitions of the data with a fixed duration. As a personalization step for enhancing performance, we additionally include </w:t>
      </w:r>
      <w:r w:rsidR="006A126A" w:rsidRPr="006A126A">
        <w:rPr>
          <w:i/>
        </w:rPr>
        <w:t>K</w:t>
      </w:r>
      <w:r w:rsidR="006A126A">
        <w:t xml:space="preserve"> </w:t>
      </w:r>
      <w:r w:rsidRPr="00EB336E">
        <w:t xml:space="preserve">instances from the held-out participant in the training data, which are then excluded from the test set. Our experiments involve varying the values of </w:t>
      </w:r>
      <w:r w:rsidR="006A126A" w:rsidRPr="006A126A">
        <w:rPr>
          <w:i/>
        </w:rPr>
        <w:t>N</w:t>
      </w:r>
      <w:r w:rsidR="006A126A">
        <w:t xml:space="preserve">, </w:t>
      </w:r>
      <w:r w:rsidR="006A126A" w:rsidRPr="006A126A">
        <w:rPr>
          <w:i/>
        </w:rPr>
        <w:t>M</w:t>
      </w:r>
      <w:r w:rsidR="006A126A">
        <w:t xml:space="preserve"> and </w:t>
      </w:r>
      <w:r w:rsidR="006A126A" w:rsidRPr="006A126A">
        <w:rPr>
          <w:i/>
        </w:rPr>
        <w:t>K</w:t>
      </w:r>
      <w:r w:rsidRPr="00EB336E">
        <w:t xml:space="preserve">.
In each of the experiments, a subset of the training data is used and is therefore selected uniformly from the entire training data; to smooth out noise introduced by the randomness, the performance is averaged over </w:t>
      </w:r>
      <w:r w:rsidR="006A126A">
        <w:t>5</w:t>
      </w:r>
      <w:r w:rsidRPr="00EB336E">
        <w:t xml:space="preserve"> trials. The performance reported is in each case the best performance achieved using cross-validation over the model </w:t>
      </w:r>
      <w:proofErr w:type="spellStart"/>
      <w:r w:rsidRPr="00EB336E">
        <w:t>hyperparameters</w:t>
      </w:r>
      <w:proofErr w:type="spellEnd"/>
      <w:r w:rsidRPr="00EB336E">
        <w:t xml:space="preserve">. These parameters include the expected class weights, the sparse balancing parameter </w:t>
      </w:r>
      <w:r w:rsidR="006A126A" w:rsidRPr="006A126A">
        <w:rPr>
          <w:rFonts w:ascii="Symbol" w:hAnsi="Symbol"/>
        </w:rPr>
        <w:t></w:t>
      </w:r>
      <w:r w:rsidRPr="00EB336E">
        <w:t xml:space="preserve"> and the</w:t>
      </w:r>
      <w:r w:rsidR="006A126A">
        <w:t xml:space="preserve"> SVM regularization constant C</w:t>
      </w:r>
      <w:r w:rsidRPr="00EB336E">
        <w:t xml:space="preserve">.
Note that the terms </w:t>
      </w:r>
      <w:r w:rsidR="006A126A" w:rsidRPr="006A126A">
        <w:rPr>
          <w:i/>
        </w:rPr>
        <w:t>instance</w:t>
      </w:r>
      <w:r w:rsidR="006A126A">
        <w:t xml:space="preserve"> and </w:t>
      </w:r>
      <w:proofErr w:type="gramStart"/>
      <w:r w:rsidR="006A126A">
        <w:rPr>
          <w:i/>
        </w:rPr>
        <w:t>finely-</w:t>
      </w:r>
      <w:r w:rsidRPr="006A126A">
        <w:rPr>
          <w:i/>
        </w:rPr>
        <w:t>labeled</w:t>
      </w:r>
      <w:proofErr w:type="gramEnd"/>
      <w:r w:rsidRPr="006A126A">
        <w:rPr>
          <w:i/>
        </w:rPr>
        <w:t xml:space="preserve"> data</w:t>
      </w:r>
      <w:r w:rsidRPr="00EB336E">
        <w:t xml:space="preserve"> are often used interchangeably, as are </w:t>
      </w:r>
      <w:r w:rsidRPr="006A126A">
        <w:rPr>
          <w:i/>
        </w:rPr>
        <w:t>session</w:t>
      </w:r>
      <w:r w:rsidR="006A126A">
        <w:t xml:space="preserve"> and </w:t>
      </w:r>
      <w:r w:rsidRPr="006A126A">
        <w:rPr>
          <w:i/>
        </w:rPr>
        <w:t>coarsely labeled</w:t>
      </w:r>
      <w:r w:rsidR="006A126A" w:rsidRPr="006A126A">
        <w:rPr>
          <w:i/>
        </w:rPr>
        <w:t xml:space="preserve"> data</w:t>
      </w:r>
      <w:r w:rsidRPr="006A126A">
        <w:rPr>
          <w:i/>
        </w:rPr>
        <w:t>.</w:t>
      </w:r>
    </w:p>
    <w:p w14:paraId="171E3C61" w14:textId="3F3CE0C7" w:rsidR="0027023A" w:rsidRDefault="0027023A" w:rsidP="0027023A">
      <w:pPr>
        <w:pStyle w:val="Heading2"/>
        <w:keepLines/>
        <w:numPr>
          <w:ilvl w:val="1"/>
          <w:numId w:val="0"/>
        </w:numPr>
        <w:tabs>
          <w:tab w:val="num" w:pos="360"/>
        </w:tabs>
        <w:autoSpaceDE/>
        <w:autoSpaceDN/>
        <w:ind w:left="288" w:hanging="288"/>
      </w:pPr>
      <w:r>
        <w:t xml:space="preserve">A. </w:t>
      </w:r>
      <w:r>
        <w:tab/>
        <w:t>Lab-20 Eating</w:t>
      </w:r>
    </w:p>
    <w:p w14:paraId="33096250" w14:textId="21322DD8" w:rsidR="006A126A" w:rsidRDefault="006A126A" w:rsidP="00EB336E">
      <w:pPr>
        <w:pStyle w:val="BodyText"/>
        <w:ind w:firstLine="0"/>
      </w:pPr>
      <w:r>
        <w:t xml:space="preserve">     Fig. 1 shows in blue the average F</w:t>
      </w:r>
      <w:r w:rsidR="00EB336E" w:rsidRPr="00EB336E">
        <w:t xml:space="preserve">1 score over all LOPO evaluations, varying the label granularity over a fixed </w:t>
      </w:r>
      <w:r w:rsidR="0027023A">
        <w:t>subset of 1500 instances (15-20</w:t>
      </w:r>
      <w:r w:rsidR="00EB336E" w:rsidRPr="00EB336E">
        <w:t xml:space="preserve">%) of the Lab-20 eating data. The baseline standard SVM performance is shown in green for comparison. From </w:t>
      </w:r>
      <w:r>
        <w:t>fig. 1</w:t>
      </w:r>
      <w:r w:rsidR="00EB336E" w:rsidRPr="00EB336E">
        <w:t xml:space="preserve"> it is clear that the performance drops very quickly as the granularity of the lab</w:t>
      </w:r>
      <w:r>
        <w:t>els decreases.
However, fig. 2</w:t>
      </w:r>
      <w:r w:rsidR="00EB336E" w:rsidRPr="00EB336E">
        <w:t xml:space="preserve"> demonstrates that this drop in performance is minimal even for large bag sizes, if in addition to coarse-grained labels, fine-grained labels are provided. More precisely, </w:t>
      </w:r>
      <w:r>
        <w:t>fig. 2 shows the average F</w:t>
      </w:r>
      <w:r w:rsidR="00EB336E" w:rsidRPr="00EB336E">
        <w:t xml:space="preserve">1 score over all LOPO evaluations, varying the label granularity but fixing the number of finely labeled training instances $M$ from the lab data. This is shown when 150, 300 or </w:t>
      </w:r>
      <w:proofErr w:type="gramStart"/>
      <w:r w:rsidR="00EB336E" w:rsidRPr="00EB336E">
        <w:t>450 labeled</w:t>
      </w:r>
      <w:proofErr w:type="gramEnd"/>
      <w:r w:rsidR="00EB336E" w:rsidRPr="00EB336E">
        <w:t xml:space="preserve"> training instances are provided from the lab data. In each case, the number of training bags from the field remains constant but the granularity of the labels over thos</w:t>
      </w:r>
      <w:r>
        <w:t xml:space="preserve">e bags is varied. When </w:t>
      </w:r>
      <w:r w:rsidRPr="006A126A">
        <w:rPr>
          <w:i/>
        </w:rPr>
        <w:t>M</w:t>
      </w:r>
      <w:r>
        <w:t xml:space="preserve"> = 150, the F</w:t>
      </w:r>
      <w:r w:rsidR="00EB336E" w:rsidRPr="00EB336E">
        <w:t xml:space="preserve">1 score drops noticeably; however, remains much larger than when no single instances are included, as shown in </w:t>
      </w:r>
      <w:r>
        <w:t xml:space="preserve">fig. 1. When </w:t>
      </w:r>
      <w:r w:rsidR="00EB336E" w:rsidRPr="006A126A">
        <w:rPr>
          <w:i/>
        </w:rPr>
        <w:t>M</w:t>
      </w:r>
      <w:r>
        <w:t xml:space="preserve"> = 300</w:t>
      </w:r>
      <w:r w:rsidR="00EB336E" w:rsidRPr="00EB336E">
        <w:t xml:space="preserve">, the performance </w:t>
      </w:r>
      <w:r>
        <w:t xml:space="preserve">drop is insignificant, and when </w:t>
      </w:r>
      <w:r w:rsidRPr="006A126A">
        <w:rPr>
          <w:i/>
        </w:rPr>
        <w:t>M</w:t>
      </w:r>
      <w:r>
        <w:t xml:space="preserve"> = 450</w:t>
      </w:r>
      <w:r w:rsidR="00EB336E" w:rsidRPr="00EB336E">
        <w:t>, the performance remains roughly the same, indicating that it may be acceptable to use field data with bag sizes of up to 300.
This alone could alternatively suggest that the additional field data we are providing does not give a significant boost in performance. To show that it indeed does increase the performance, we consider the case when the number</w:t>
      </w:r>
      <w:r>
        <w:t xml:space="preserve"> of labeled training instances </w:t>
      </w:r>
      <w:r w:rsidRPr="006A126A">
        <w:rPr>
          <w:i/>
        </w:rPr>
        <w:t>M</w:t>
      </w:r>
      <w:r w:rsidR="00EB336E" w:rsidRPr="00EB336E">
        <w:t xml:space="preserve"> is fixed a</w:t>
      </w:r>
      <w:r>
        <w:t xml:space="preserve">nd the number of training bags </w:t>
      </w:r>
      <w:r w:rsidRPr="006A126A">
        <w:rPr>
          <w:i/>
        </w:rPr>
        <w:t>N</w:t>
      </w:r>
      <w:r w:rsidR="00EB336E" w:rsidRPr="00EB336E">
        <w:t xml:space="preserve"> varies.
</w:t>
      </w:r>
      <w:r>
        <w:t>Fig. 3 shows the average LOPO F</w:t>
      </w:r>
      <w:r w:rsidR="00EB336E" w:rsidRPr="00EB336E">
        <w:t xml:space="preserve">1 score on the Lab-20 eating dataset as the number of bags increases for bag sizes of 15, 150 and 300 instances. These correspond roughly to 1.5, 15 and </w:t>
      </w:r>
      <w:proofErr w:type="gramStart"/>
      <w:r w:rsidR="00EB336E" w:rsidRPr="00EB336E">
        <w:t>30 minute</w:t>
      </w:r>
      <w:proofErr w:type="gramEnd"/>
      <w:r w:rsidR="00EB336E" w:rsidRPr="00EB336E">
        <w:t xml:space="preserve"> bags respectively. The number of labeled training instances i</w:t>
      </w:r>
      <w:r>
        <w:t xml:space="preserve">s fixed at </w:t>
      </w:r>
      <w:r w:rsidR="00EB336E" w:rsidRPr="006A126A">
        <w:rPr>
          <w:i/>
        </w:rPr>
        <w:t>M</w:t>
      </w:r>
      <w:r>
        <w:t xml:space="preserve"> = 1500</w:t>
      </w:r>
      <w:r w:rsidR="00EB336E" w:rsidRPr="00EB336E">
        <w:t>. As the amount o</w:t>
      </w:r>
      <w:r>
        <w:t>f training data increases, the F</w:t>
      </w:r>
      <w:r w:rsidR="00EB336E" w:rsidRPr="00EB336E">
        <w:t>1 score increases, as expected. Interestingly, the performance is greater given larger bags, even when fewer labels are available. This suggests that many unlabeled instances are preferable to few labeled instances. This is the essential advantage of using MIL techniques.</w:t>
      </w:r>
    </w:p>
    <w:p w14:paraId="7D52539F" w14:textId="77777777" w:rsidR="00CB2C4C" w:rsidRDefault="00CB2C4C" w:rsidP="00CB2C4C">
      <w:pPr>
        <w:pStyle w:val="Heading2"/>
        <w:keepLines/>
        <w:numPr>
          <w:ilvl w:val="1"/>
          <w:numId w:val="0"/>
        </w:numPr>
        <w:tabs>
          <w:tab w:val="num" w:pos="360"/>
        </w:tabs>
        <w:autoSpaceDE/>
        <w:autoSpaceDN/>
        <w:ind w:left="288" w:hanging="288"/>
      </w:pPr>
      <w:r>
        <w:lastRenderedPageBreak/>
        <w:t xml:space="preserve">B. </w:t>
      </w:r>
      <w:r>
        <w:tab/>
      </w:r>
      <w:proofErr w:type="spellStart"/>
      <w:r>
        <w:t>RisQ</w:t>
      </w:r>
      <w:proofErr w:type="spellEnd"/>
      <w:r>
        <w:t xml:space="preserve"> data</w:t>
      </w:r>
    </w:p>
    <w:p w14:paraId="70E431AB" w14:textId="4305B515" w:rsidR="00CB2C4C" w:rsidRDefault="00414EA6" w:rsidP="00EB336E">
      <w:pPr>
        <w:pStyle w:val="BodyText"/>
        <w:ind w:firstLine="0"/>
      </w:pPr>
      <w:r w:rsidRPr="00414EA6">
        <w:t>To show that this model generalizes to other datasets, we perform similar tests o</w:t>
      </w:r>
      <w:r>
        <w:t xml:space="preserve">n the </w:t>
      </w:r>
      <w:proofErr w:type="spellStart"/>
      <w:r>
        <w:t>RisQ</w:t>
      </w:r>
      <w:proofErr w:type="spellEnd"/>
      <w:r>
        <w:t xml:space="preserve"> smoking dataset. Fig. 4 shows the average LOPO F</w:t>
      </w:r>
      <w:r w:rsidRPr="00414EA6">
        <w:t xml:space="preserve">1 score of the </w:t>
      </w:r>
      <w:proofErr w:type="spellStart"/>
      <w:r w:rsidRPr="00414EA6">
        <w:t>sbMIL</w:t>
      </w:r>
      <w:proofErr w:type="spellEnd"/>
      <w:r w:rsidRPr="00414EA6">
        <w:t xml:space="preserve"> classifier for various </w:t>
      </w:r>
      <w:proofErr w:type="gramStart"/>
      <w:r w:rsidRPr="00414EA6">
        <w:t>number</w:t>
      </w:r>
      <w:proofErr w:type="gramEnd"/>
      <w:r w:rsidRPr="00414EA6">
        <w:t xml:space="preserve"> of labeled sessions. Here, a session is a variable length time period of smoking, in which at least one smoking gesture occurred. The number of labeled </w:t>
      </w:r>
      <w:r>
        <w:t xml:space="preserve">instances is fixed at </w:t>
      </w:r>
      <w:r w:rsidRPr="00414EA6">
        <w:rPr>
          <w:i/>
        </w:rPr>
        <w:t>M</w:t>
      </w:r>
      <w:r>
        <w:t xml:space="preserve"> = 1500</w:t>
      </w:r>
      <w:r w:rsidR="00610313">
        <w:t>, approximately 15-20</w:t>
      </w:r>
      <w:r w:rsidRPr="00414EA6">
        <w:t>% of the total tr</w:t>
      </w:r>
      <w:r>
        <w:t>aining data. We see nearly a 15</w:t>
      </w:r>
      <w:r w:rsidRPr="00414EA6">
        <w:t>% increase in performance given only 5 additional lab</w:t>
      </w:r>
      <w:r>
        <w:t>eled sessions, resulting in an F</w:t>
      </w:r>
      <w:r w:rsidRPr="00414EA6">
        <w:t xml:space="preserve">1 score comparable to the Random Forest/Condition Random Field baseline performance reported in the original </w:t>
      </w:r>
      <w:proofErr w:type="spellStart"/>
      <w:r w:rsidRPr="00414EA6">
        <w:t>RisQ</w:t>
      </w:r>
      <w:proofErr w:type="spellEnd"/>
      <w:r w:rsidRPr="00414EA6">
        <w:t xml:space="preserve"> pipeline.</w:t>
      </w:r>
    </w:p>
    <w:p w14:paraId="03558A1C" w14:textId="0A0D77CC" w:rsidR="00C2692F" w:rsidRDefault="00C2692F" w:rsidP="00EB336E">
      <w:pPr>
        <w:pStyle w:val="BodyText"/>
        <w:ind w:firstLine="0"/>
      </w:pPr>
      <w:r>
        <w:t>A.</w:t>
      </w:r>
      <w:r>
        <w:tab/>
      </w:r>
      <w:r w:rsidRPr="005B520E">
        <w:t>Authors</w:t>
      </w:r>
      <w:r>
        <w:t xml:space="preserve"> and Affiliations</w:t>
      </w:r>
    </w:p>
    <w:p w14:paraId="039FF406" w14:textId="77777777"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2A612A5C" w14:textId="77777777"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14:paraId="6CA2CB03"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14:paraId="3C531452"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5A3F6CB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14:paraId="4E3AD45E"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14:paraId="41F1E7D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14:paraId="78585788"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7022E53A"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14:paraId="05C0E6C6"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14:paraId="5461E16A" w14:textId="77777777"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4A119525" w14:textId="77777777"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14:paraId="1F938D07" w14:textId="77777777" w:rsidR="00C2692F" w:rsidRPr="005B520E" w:rsidRDefault="00C2692F" w:rsidP="00C2692F">
      <w:pPr>
        <w:pStyle w:val="BodyText"/>
      </w:pPr>
      <w:r w:rsidRPr="005B520E">
        <w:t>Headings, or heads, are organizational devices that guide the reader through your paper. There are two types: component heads and text heads.</w:t>
      </w:r>
    </w:p>
    <w:p w14:paraId="7A95FE2F" w14:textId="77777777" w:rsidR="00C2692F" w:rsidRPr="005B520E" w:rsidRDefault="00C2692F" w:rsidP="00C2692F">
      <w:pPr>
        <w:pStyle w:val="BodyText"/>
      </w:pPr>
      <w:r w:rsidRPr="005B520E">
        <w:t xml:space="preserve">Component heads identify the different components of your paper and are not topically subordinate to each other. Examples include Acknowledgments and References and, for </w:t>
      </w:r>
      <w:r w:rsidRPr="005B520E">
        <w:lastRenderedPageBreak/>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7455D90" w14:textId="77777777"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B234D54" w14:textId="77777777" w:rsidR="00C2692F" w:rsidRDefault="00C2692F" w:rsidP="00C2692F">
      <w:pPr>
        <w:pStyle w:val="Heading2"/>
        <w:keepLines/>
        <w:numPr>
          <w:ilvl w:val="1"/>
          <w:numId w:val="0"/>
        </w:numPr>
        <w:tabs>
          <w:tab w:val="num" w:pos="360"/>
        </w:tabs>
        <w:autoSpaceDE/>
        <w:autoSpaceDN/>
        <w:ind w:left="288" w:hanging="288"/>
      </w:pPr>
      <w:r>
        <w:t>C.</w:t>
      </w:r>
      <w:r>
        <w:tab/>
        <w:t>Figures and Tables</w:t>
      </w:r>
    </w:p>
    <w:p w14:paraId="445A7E8F" w14:textId="77777777"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EB61548" w14:textId="77777777"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14:paraId="09CEA4D3" w14:textId="77777777">
        <w:trPr>
          <w:cantSplit/>
          <w:trHeight w:val="240"/>
          <w:tblHeader/>
          <w:jc w:val="center"/>
        </w:trPr>
        <w:tc>
          <w:tcPr>
            <w:tcW w:w="720" w:type="dxa"/>
            <w:vMerge w:val="restart"/>
            <w:vAlign w:val="center"/>
          </w:tcPr>
          <w:p w14:paraId="0A5B4320" w14:textId="77777777" w:rsidR="00C2692F" w:rsidRDefault="00C2692F">
            <w:pPr>
              <w:pStyle w:val="tablecolhead"/>
            </w:pPr>
            <w:r>
              <w:t>Table Head</w:t>
            </w:r>
          </w:p>
        </w:tc>
        <w:tc>
          <w:tcPr>
            <w:tcW w:w="4140" w:type="dxa"/>
            <w:gridSpan w:val="3"/>
            <w:vAlign w:val="center"/>
          </w:tcPr>
          <w:p w14:paraId="6A2ADF8A" w14:textId="77777777" w:rsidR="00C2692F" w:rsidRDefault="00C2692F">
            <w:pPr>
              <w:pStyle w:val="tablecolhead"/>
            </w:pPr>
            <w:r>
              <w:t>Table Column Head</w:t>
            </w:r>
          </w:p>
        </w:tc>
      </w:tr>
      <w:tr w:rsidR="00C2692F" w14:paraId="5FAFA43F" w14:textId="77777777">
        <w:trPr>
          <w:cantSplit/>
          <w:trHeight w:val="240"/>
          <w:tblHeader/>
          <w:jc w:val="center"/>
        </w:trPr>
        <w:tc>
          <w:tcPr>
            <w:tcW w:w="720" w:type="dxa"/>
            <w:vMerge/>
          </w:tcPr>
          <w:p w14:paraId="5795F783" w14:textId="77777777" w:rsidR="00C2692F" w:rsidRDefault="00C2692F">
            <w:pPr>
              <w:rPr>
                <w:sz w:val="16"/>
                <w:szCs w:val="16"/>
              </w:rPr>
            </w:pPr>
          </w:p>
        </w:tc>
        <w:tc>
          <w:tcPr>
            <w:tcW w:w="2340" w:type="dxa"/>
            <w:vAlign w:val="center"/>
          </w:tcPr>
          <w:p w14:paraId="2F4533A8" w14:textId="77777777" w:rsidR="00C2692F" w:rsidRDefault="00C2692F">
            <w:pPr>
              <w:pStyle w:val="tablecolsubhead"/>
            </w:pPr>
            <w:r>
              <w:t>Table column subhead</w:t>
            </w:r>
          </w:p>
        </w:tc>
        <w:tc>
          <w:tcPr>
            <w:tcW w:w="900" w:type="dxa"/>
            <w:vAlign w:val="center"/>
          </w:tcPr>
          <w:p w14:paraId="0CDB906C" w14:textId="77777777" w:rsidR="00C2692F" w:rsidRDefault="00C2692F">
            <w:pPr>
              <w:pStyle w:val="tablecolsubhead"/>
            </w:pPr>
            <w:r>
              <w:t>Subhead</w:t>
            </w:r>
          </w:p>
        </w:tc>
        <w:tc>
          <w:tcPr>
            <w:tcW w:w="900" w:type="dxa"/>
            <w:vAlign w:val="center"/>
          </w:tcPr>
          <w:p w14:paraId="5E403149" w14:textId="77777777" w:rsidR="00C2692F" w:rsidRDefault="00C2692F">
            <w:pPr>
              <w:pStyle w:val="tablecolsubhead"/>
            </w:pPr>
            <w:r>
              <w:t>Subhead</w:t>
            </w:r>
          </w:p>
        </w:tc>
      </w:tr>
      <w:tr w:rsidR="00C2692F" w14:paraId="359602FA" w14:textId="77777777">
        <w:trPr>
          <w:trHeight w:val="320"/>
          <w:jc w:val="center"/>
        </w:trPr>
        <w:tc>
          <w:tcPr>
            <w:tcW w:w="720" w:type="dxa"/>
            <w:vAlign w:val="center"/>
          </w:tcPr>
          <w:p w14:paraId="703CDFD9" w14:textId="77777777" w:rsidR="00C2692F" w:rsidRDefault="00C2692F">
            <w:pPr>
              <w:pStyle w:val="tablecopy"/>
              <w:rPr>
                <w:sz w:val="8"/>
                <w:szCs w:val="8"/>
              </w:rPr>
            </w:pPr>
            <w:r>
              <w:t>copy</w:t>
            </w:r>
          </w:p>
        </w:tc>
        <w:tc>
          <w:tcPr>
            <w:tcW w:w="2340" w:type="dxa"/>
            <w:vAlign w:val="center"/>
          </w:tcPr>
          <w:p w14:paraId="6A64754D" w14:textId="77777777" w:rsidR="00C2692F" w:rsidRDefault="00C2692F">
            <w:pPr>
              <w:pStyle w:val="tablecopy"/>
            </w:pPr>
            <w:r>
              <w:t>More table copy</w:t>
            </w:r>
            <w:r>
              <w:rPr>
                <w:vertAlign w:val="superscript"/>
              </w:rPr>
              <w:t>a</w:t>
            </w:r>
          </w:p>
        </w:tc>
        <w:tc>
          <w:tcPr>
            <w:tcW w:w="900" w:type="dxa"/>
            <w:vAlign w:val="center"/>
          </w:tcPr>
          <w:p w14:paraId="2AF4F359" w14:textId="77777777" w:rsidR="00C2692F" w:rsidRDefault="00C2692F">
            <w:pPr>
              <w:rPr>
                <w:sz w:val="16"/>
                <w:szCs w:val="16"/>
              </w:rPr>
            </w:pPr>
          </w:p>
        </w:tc>
        <w:tc>
          <w:tcPr>
            <w:tcW w:w="900" w:type="dxa"/>
            <w:vAlign w:val="center"/>
          </w:tcPr>
          <w:p w14:paraId="12287826" w14:textId="77777777" w:rsidR="00C2692F" w:rsidRDefault="00C2692F">
            <w:pPr>
              <w:rPr>
                <w:sz w:val="16"/>
                <w:szCs w:val="16"/>
              </w:rPr>
            </w:pPr>
          </w:p>
        </w:tc>
      </w:tr>
    </w:tbl>
    <w:p w14:paraId="56FCFB00" w14:textId="77777777" w:rsidR="00C2692F" w:rsidRPr="005B520E" w:rsidRDefault="00C2692F" w:rsidP="00C2692F">
      <w:pPr>
        <w:pStyle w:val="tablefootnote"/>
      </w:pPr>
      <w:r>
        <w:t xml:space="preserve">a. Sample of a </w:t>
      </w:r>
      <w:r w:rsidRPr="005B520E">
        <w:t>Table</w:t>
      </w:r>
      <w:r>
        <w:t xml:space="preserve"> footnote. </w:t>
      </w:r>
      <w:r w:rsidRPr="005B520E">
        <w:t>(Table footnote)</w:t>
      </w:r>
    </w:p>
    <w:p w14:paraId="42360218" w14:textId="77777777" w:rsidR="00C2692F" w:rsidRDefault="00C2692F" w:rsidP="00C2692F"/>
    <w:p w14:paraId="2CFB3D6B" w14:textId="77777777" w:rsidR="00C2692F" w:rsidRDefault="001A13E6" w:rsidP="00C2692F">
      <w:pPr>
        <w:pStyle w:val="figurecaption"/>
      </w:pPr>
      <w:r>
        <mc:AlternateContent>
          <mc:Choice Requires="wps">
            <w:drawing>
              <wp:anchor distT="0" distB="0" distL="114300" distR="114300" simplePos="0" relativeHeight="251657728" behindDoc="1" locked="0" layoutInCell="1" allowOverlap="1" wp14:anchorId="039171D3" wp14:editId="7DC86FE9">
                <wp:simplePos x="0" y="0"/>
                <wp:positionH relativeFrom="column">
                  <wp:posOffset>132715</wp:posOffset>
                </wp:positionH>
                <wp:positionV relativeFrom="paragraph">
                  <wp:posOffset>287020</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14:paraId="4D1E6D3B" w14:textId="77777777" w:rsidR="00921A78" w:rsidRDefault="00921A78"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1469A" w14:textId="77777777" w:rsidR="00921A78" w:rsidRDefault="00921A78"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45pt;margin-top:22.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">
                <v:textbox>
                  <w:txbxContent>
                    <w:p w14:paraId="4D1E6D3B" w14:textId="77777777" w:rsidR="00921A78" w:rsidRDefault="00921A78"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1469A" w14:textId="77777777" w:rsidR="00921A78" w:rsidRDefault="00921A78"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14:paraId="3D6FFE86" w14:textId="77777777" w:rsidR="007F61BC" w:rsidRDefault="007F61BC" w:rsidP="00C2692F">
      <w:pPr>
        <w:pStyle w:val="Text"/>
      </w:pPr>
    </w:p>
    <w:p w14:paraId="0C842D8E" w14:textId="77777777"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 with a ratio of quantities and units. For example, write “Temperature (K)”, not “Temperature/K</w:t>
      </w:r>
      <w:r>
        <w:t>.</w:t>
      </w:r>
      <w:r w:rsidRPr="005B520E">
        <w:t>”</w:t>
      </w:r>
    </w:p>
    <w:p w14:paraId="45D45004" w14:textId="77777777" w:rsidR="00C2692F" w:rsidRDefault="00C2692F">
      <w:pPr>
        <w:pStyle w:val="Heading1"/>
      </w:pPr>
      <w:r>
        <w:t>Conclusion</w:t>
      </w:r>
    </w:p>
    <w:p w14:paraId="7D0E8277" w14:textId="77777777" w:rsidR="00C2692F" w:rsidRDefault="00C2692F">
      <w:pPr>
        <w:pStyle w:val="Text"/>
      </w:pPr>
      <w:r>
        <w:t xml:space="preserve">A conclusion section is not required. Although a conclusion may review the main points of the paper, do not replicate the abstract as the conclusion. A conclusion might </w:t>
      </w:r>
      <w:r>
        <w:lastRenderedPageBreak/>
        <w:t xml:space="preserve">elaborate on the importance of the work or suggest applications and extensions. </w:t>
      </w:r>
    </w:p>
    <w:p w14:paraId="30B00757" w14:textId="77777777" w:rsidR="0015028E" w:rsidRDefault="0015028E">
      <w:pPr>
        <w:pStyle w:val="ReferenceHead"/>
      </w:pPr>
    </w:p>
    <w:p w14:paraId="6C167509" w14:textId="77777777" w:rsidR="0015028E" w:rsidRDefault="0015028E">
      <w:pPr>
        <w:pStyle w:val="ReferenceHead"/>
      </w:pPr>
    </w:p>
    <w:p w14:paraId="3494D1B5" w14:textId="77777777" w:rsidR="00C2692F" w:rsidRDefault="00C2692F">
      <w:pPr>
        <w:pStyle w:val="ReferenceHead"/>
      </w:pPr>
      <w:r>
        <w:t>Appendix</w:t>
      </w:r>
    </w:p>
    <w:p w14:paraId="4C3DD4E9" w14:textId="77777777" w:rsidR="00C2692F" w:rsidRDefault="00C2692F" w:rsidP="00C2692F">
      <w:pPr>
        <w:pStyle w:val="Text"/>
      </w:pPr>
      <w:r>
        <w:t>Appendixes should appear before the acknowledgment.</w:t>
      </w:r>
    </w:p>
    <w:p w14:paraId="7B1DC569" w14:textId="77777777" w:rsidR="00C2692F" w:rsidRDefault="00C2692F">
      <w:pPr>
        <w:pStyle w:val="ReferenceHead"/>
      </w:pPr>
      <w:r>
        <w:t>Acknowledgment</w:t>
      </w:r>
    </w:p>
    <w:p w14:paraId="402B3405" w14:textId="77777777" w:rsidR="00C2692F" w:rsidRDefault="00C2692F" w:rsidP="001A13E6">
      <w:pPr>
        <w:pStyle w:val="Text"/>
        <w:spacing w:after="120" w:line="228" w:lineRule="auto"/>
        <w:ind w:firstLine="288"/>
      </w:pPr>
      <w:r w:rsidRPr="005B520E">
        <w:t xml:space="preserve">The preferred spelling of the word “acknowledgment” in America is without an “e” after the “g”. Avoid the stilted expression, “One of us (R. B. G.) </w:t>
      </w:r>
      <w:proofErr w:type="gramStart"/>
      <w:r w:rsidRPr="005B520E">
        <w:t>thanks</w:t>
      </w:r>
      <w:proofErr w:type="gramEnd"/>
      <w:r w:rsidRPr="005B520E">
        <w:t xml:space="preserve"> . . .”  Instead, try “R. B. G. thanks”. Put spons</w:t>
      </w:r>
      <w:r>
        <w:t>or acknowledgments in the unnum</w:t>
      </w:r>
      <w:r w:rsidRPr="005B520E">
        <w:t>bered footnote on the first page</w:t>
      </w:r>
      <w:r>
        <w:t>.</w:t>
      </w:r>
    </w:p>
    <w:p w14:paraId="54778CCA" w14:textId="77777777" w:rsidR="0015028E" w:rsidRDefault="0015028E">
      <w:pPr>
        <w:pStyle w:val="ReferenceHead"/>
      </w:pPr>
    </w:p>
    <w:p w14:paraId="09610D95" w14:textId="77777777" w:rsidR="0015028E" w:rsidRDefault="0015028E">
      <w:pPr>
        <w:pStyle w:val="ReferenceHead"/>
      </w:pPr>
    </w:p>
    <w:p w14:paraId="6B52CBB1" w14:textId="77777777" w:rsidR="00C2692F" w:rsidRDefault="00C2692F">
      <w:pPr>
        <w:pStyle w:val="ReferenceHead"/>
      </w:pPr>
      <w:r>
        <w:t>References</w:t>
      </w:r>
    </w:p>
    <w:p w14:paraId="42E2FA0E" w14:textId="0EC4BB75" w:rsidR="003E385D" w:rsidRPr="003E385D" w:rsidRDefault="003E385D" w:rsidP="003E385D">
      <w:pPr>
        <w:pStyle w:val="ListParagraph"/>
        <w:widowControl w:val="0"/>
        <w:numPr>
          <w:ilvl w:val="0"/>
          <w:numId w:val="19"/>
        </w:numPr>
        <w:adjustRightInd w:val="0"/>
        <w:spacing w:after="240"/>
        <w:rPr>
          <w:sz w:val="16"/>
          <w:szCs w:val="16"/>
        </w:rPr>
      </w:pPr>
      <w:proofErr w:type="spellStart"/>
      <w:r w:rsidRPr="003E385D">
        <w:rPr>
          <w:sz w:val="16"/>
          <w:szCs w:val="16"/>
        </w:rPr>
        <w:t>Abhinav</w:t>
      </w:r>
      <w:proofErr w:type="spellEnd"/>
      <w:r w:rsidRPr="003E385D">
        <w:rPr>
          <w:sz w:val="16"/>
          <w:szCs w:val="16"/>
        </w:rPr>
        <w:t xml:space="preserve"> </w:t>
      </w:r>
      <w:proofErr w:type="spellStart"/>
      <w:r w:rsidRPr="003E385D">
        <w:rPr>
          <w:sz w:val="16"/>
          <w:szCs w:val="16"/>
        </w:rPr>
        <w:t>Parate</w:t>
      </w:r>
      <w:proofErr w:type="spellEnd"/>
      <w:r w:rsidRPr="003E385D">
        <w:rPr>
          <w:sz w:val="16"/>
          <w:szCs w:val="16"/>
        </w:rPr>
        <w:t xml:space="preserve">, </w:t>
      </w:r>
      <w:proofErr w:type="spellStart"/>
      <w:r w:rsidRPr="003E385D">
        <w:rPr>
          <w:sz w:val="16"/>
          <w:szCs w:val="16"/>
        </w:rPr>
        <w:t>Meng-Chieh</w:t>
      </w:r>
      <w:proofErr w:type="spellEnd"/>
      <w:r w:rsidRPr="003E385D">
        <w:rPr>
          <w:sz w:val="16"/>
          <w:szCs w:val="16"/>
        </w:rPr>
        <w:t xml:space="preserve"> Chiu, </w:t>
      </w:r>
      <w:proofErr w:type="spellStart"/>
      <w:r w:rsidRPr="003E385D">
        <w:rPr>
          <w:sz w:val="16"/>
          <w:szCs w:val="16"/>
        </w:rPr>
        <w:t>Chaniel</w:t>
      </w:r>
      <w:proofErr w:type="spellEnd"/>
      <w:r w:rsidRPr="003E385D">
        <w:rPr>
          <w:sz w:val="16"/>
          <w:szCs w:val="16"/>
        </w:rPr>
        <w:t xml:space="preserve"> </w:t>
      </w:r>
      <w:proofErr w:type="spellStart"/>
      <w:r w:rsidRPr="003E385D">
        <w:rPr>
          <w:sz w:val="16"/>
          <w:szCs w:val="16"/>
        </w:rPr>
        <w:t>Chadowitz</w:t>
      </w:r>
      <w:proofErr w:type="spellEnd"/>
      <w:r w:rsidRPr="003E385D">
        <w:rPr>
          <w:sz w:val="16"/>
          <w:szCs w:val="16"/>
        </w:rPr>
        <w:t xml:space="preserve">, Deepak </w:t>
      </w:r>
      <w:proofErr w:type="spellStart"/>
      <w:r w:rsidRPr="003E385D">
        <w:rPr>
          <w:sz w:val="16"/>
          <w:szCs w:val="16"/>
        </w:rPr>
        <w:t>Ganesan</w:t>
      </w:r>
      <w:proofErr w:type="spellEnd"/>
      <w:r w:rsidRPr="003E385D">
        <w:rPr>
          <w:sz w:val="16"/>
          <w:szCs w:val="16"/>
        </w:rPr>
        <w:t xml:space="preserve">, and </w:t>
      </w:r>
      <w:proofErr w:type="spellStart"/>
      <w:r w:rsidRPr="003E385D">
        <w:rPr>
          <w:sz w:val="16"/>
          <w:szCs w:val="16"/>
        </w:rPr>
        <w:t>Evangelos</w:t>
      </w:r>
      <w:proofErr w:type="spellEnd"/>
      <w:r w:rsidRPr="003E385D">
        <w:rPr>
          <w:sz w:val="16"/>
          <w:szCs w:val="16"/>
        </w:rPr>
        <w:t xml:space="preserve"> </w:t>
      </w:r>
      <w:proofErr w:type="spellStart"/>
      <w:r w:rsidRPr="003E385D">
        <w:rPr>
          <w:sz w:val="16"/>
          <w:szCs w:val="16"/>
        </w:rPr>
        <w:t>Kalogerakis</w:t>
      </w:r>
      <w:proofErr w:type="spellEnd"/>
      <w:r w:rsidRPr="003E385D">
        <w:rPr>
          <w:sz w:val="16"/>
          <w:szCs w:val="16"/>
        </w:rPr>
        <w:t xml:space="preserve">. 2014. </w:t>
      </w:r>
      <w:proofErr w:type="spellStart"/>
      <w:r w:rsidRPr="003E385D">
        <w:rPr>
          <w:sz w:val="16"/>
          <w:szCs w:val="16"/>
        </w:rPr>
        <w:t>Risq</w:t>
      </w:r>
      <w:proofErr w:type="spellEnd"/>
      <w:r w:rsidRPr="003E385D">
        <w:rPr>
          <w:sz w:val="16"/>
          <w:szCs w:val="16"/>
        </w:rPr>
        <w:t xml:space="preserve">: Recognizing smoking gestures with inertial sensors on a wristband. In </w:t>
      </w:r>
      <w:r w:rsidRPr="003E385D">
        <w:rPr>
          <w:i/>
          <w:iCs/>
          <w:sz w:val="16"/>
          <w:szCs w:val="16"/>
        </w:rPr>
        <w:t>Proceedings of the 12th annual international conference on Mobile systems, applications, and services</w:t>
      </w:r>
      <w:r w:rsidRPr="003E385D">
        <w:rPr>
          <w:sz w:val="16"/>
          <w:szCs w:val="16"/>
        </w:rPr>
        <w:t xml:space="preserve">. ACM. </w:t>
      </w:r>
    </w:p>
    <w:p w14:paraId="189FB8F0" w14:textId="6A4AEAB0"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Stuart Andrews, </w:t>
      </w:r>
      <w:proofErr w:type="spellStart"/>
      <w:r w:rsidRPr="003E385D">
        <w:rPr>
          <w:sz w:val="16"/>
          <w:szCs w:val="16"/>
        </w:rPr>
        <w:t>Ioannis</w:t>
      </w:r>
      <w:proofErr w:type="spellEnd"/>
      <w:r w:rsidRPr="003E385D">
        <w:rPr>
          <w:sz w:val="16"/>
          <w:szCs w:val="16"/>
        </w:rPr>
        <w:t xml:space="preserve"> </w:t>
      </w:r>
      <w:proofErr w:type="spellStart"/>
      <w:r w:rsidRPr="003E385D">
        <w:rPr>
          <w:sz w:val="16"/>
          <w:szCs w:val="16"/>
        </w:rPr>
        <w:t>Tsochant</w:t>
      </w:r>
      <w:r w:rsidR="001E068C">
        <w:rPr>
          <w:sz w:val="16"/>
          <w:szCs w:val="16"/>
        </w:rPr>
        <w:t>aridis</w:t>
      </w:r>
      <w:proofErr w:type="spellEnd"/>
      <w:r w:rsidR="001E068C">
        <w:rPr>
          <w:sz w:val="16"/>
          <w:szCs w:val="16"/>
        </w:rPr>
        <w:t>, and Thomas Hofmann. 2003</w:t>
      </w:r>
      <w:r w:rsidRPr="003E385D">
        <w:rPr>
          <w:sz w:val="16"/>
          <w:szCs w:val="16"/>
        </w:rPr>
        <w:t xml:space="preserve">. Support vector machines for multiple-instance learning. In </w:t>
      </w:r>
      <w:r w:rsidRPr="003E385D">
        <w:rPr>
          <w:i/>
          <w:iCs/>
          <w:sz w:val="16"/>
          <w:szCs w:val="16"/>
        </w:rPr>
        <w:t>Advances in Neural Information Processing Systems 15</w:t>
      </w:r>
      <w:r w:rsidRPr="003E385D">
        <w:rPr>
          <w:sz w:val="16"/>
          <w:szCs w:val="16"/>
        </w:rPr>
        <w:t xml:space="preserve">. MIT Press, 561–568. </w:t>
      </w:r>
    </w:p>
    <w:p w14:paraId="42869E76" w14:textId="2C583B77" w:rsidR="003E385D" w:rsidRPr="003E385D" w:rsidRDefault="003E385D" w:rsidP="003E385D">
      <w:pPr>
        <w:pStyle w:val="ListParagraph"/>
        <w:widowControl w:val="0"/>
        <w:numPr>
          <w:ilvl w:val="0"/>
          <w:numId w:val="19"/>
        </w:numPr>
        <w:adjustRightInd w:val="0"/>
        <w:spacing w:after="240"/>
        <w:rPr>
          <w:sz w:val="16"/>
          <w:szCs w:val="16"/>
        </w:rPr>
      </w:pPr>
      <w:proofErr w:type="spellStart"/>
      <w:r w:rsidRPr="003E385D">
        <w:rPr>
          <w:sz w:val="16"/>
          <w:szCs w:val="16"/>
        </w:rPr>
        <w:t>Razvan</w:t>
      </w:r>
      <w:proofErr w:type="spellEnd"/>
      <w:r w:rsidRPr="003E385D">
        <w:rPr>
          <w:sz w:val="16"/>
          <w:szCs w:val="16"/>
        </w:rPr>
        <w:t xml:space="preserve"> C. </w:t>
      </w:r>
      <w:proofErr w:type="spellStart"/>
      <w:r w:rsidRPr="003E385D">
        <w:rPr>
          <w:sz w:val="16"/>
          <w:szCs w:val="16"/>
        </w:rPr>
        <w:t>Bunescu</w:t>
      </w:r>
      <w:proofErr w:type="spellEnd"/>
      <w:r w:rsidRPr="003E385D">
        <w:rPr>
          <w:sz w:val="16"/>
          <w:szCs w:val="16"/>
        </w:rPr>
        <w:t xml:space="preserve"> and Raymond J. Mooney. 2007. Multiple Instance Learning for Sparse Positive Bags. In </w:t>
      </w:r>
      <w:r w:rsidRPr="003E385D">
        <w:rPr>
          <w:i/>
          <w:iCs/>
          <w:sz w:val="16"/>
          <w:szCs w:val="16"/>
        </w:rPr>
        <w:t>Proceedings of the 24th Annual International Conference on Machine Learning (ICML-2007)</w:t>
      </w:r>
      <w:r w:rsidRPr="003E385D">
        <w:rPr>
          <w:sz w:val="16"/>
          <w:szCs w:val="16"/>
        </w:rPr>
        <w:t>. Corvallis, OR. http://nn.cs.utexas.edu/</w:t>
      </w:r>
      <w:proofErr w:type="gramStart"/>
      <w:r w:rsidRPr="003E385D">
        <w:rPr>
          <w:sz w:val="16"/>
          <w:szCs w:val="16"/>
        </w:rPr>
        <w:t>?bunescu:icml07</w:t>
      </w:r>
      <w:proofErr w:type="gramEnd"/>
      <w:r w:rsidRPr="003E385D">
        <w:rPr>
          <w:sz w:val="16"/>
          <w:szCs w:val="16"/>
        </w:rPr>
        <w:t xml:space="preserve"> </w:t>
      </w:r>
    </w:p>
    <w:p w14:paraId="7ECA1BC8" w14:textId="7CACDBAC"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Gary Doran and </w:t>
      </w:r>
      <w:proofErr w:type="spellStart"/>
      <w:r w:rsidRPr="003E385D">
        <w:rPr>
          <w:sz w:val="16"/>
          <w:szCs w:val="16"/>
        </w:rPr>
        <w:t>Soumya</w:t>
      </w:r>
      <w:proofErr w:type="spellEnd"/>
      <w:r w:rsidRPr="003E385D">
        <w:rPr>
          <w:sz w:val="16"/>
          <w:szCs w:val="16"/>
        </w:rPr>
        <w:t xml:space="preserve"> Ray. 2014. A Theoretical and Empirical Analysis of Support Vector Machine Methods for Multiple-instance Classification. </w:t>
      </w:r>
      <w:r w:rsidRPr="003E385D">
        <w:rPr>
          <w:i/>
          <w:iCs/>
          <w:sz w:val="16"/>
          <w:szCs w:val="16"/>
        </w:rPr>
        <w:t xml:space="preserve">Mach. Learn. </w:t>
      </w:r>
      <w:r w:rsidRPr="003E385D">
        <w:rPr>
          <w:sz w:val="16"/>
          <w:szCs w:val="16"/>
        </w:rPr>
        <w:t xml:space="preserve">97, 1-2 (Oct. 2014), 79–102. DOI: http://dx.doi.org/10.1007/s10994- 013- 5429- 5 </w:t>
      </w:r>
    </w:p>
    <w:p w14:paraId="2A98D426" w14:textId="0E745DEF"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Edison </w:t>
      </w:r>
      <w:proofErr w:type="spellStart"/>
      <w:r w:rsidRPr="003E385D">
        <w:rPr>
          <w:sz w:val="16"/>
          <w:szCs w:val="16"/>
        </w:rPr>
        <w:t>Thomaz</w:t>
      </w:r>
      <w:proofErr w:type="spellEnd"/>
      <w:r w:rsidRPr="003E385D">
        <w:rPr>
          <w:sz w:val="16"/>
          <w:szCs w:val="16"/>
        </w:rPr>
        <w:t xml:space="preserve">, </w:t>
      </w:r>
      <w:proofErr w:type="spellStart"/>
      <w:r w:rsidRPr="003E385D">
        <w:rPr>
          <w:sz w:val="16"/>
          <w:szCs w:val="16"/>
        </w:rPr>
        <w:t>Irfan</w:t>
      </w:r>
      <w:proofErr w:type="spellEnd"/>
      <w:r w:rsidRPr="003E385D">
        <w:rPr>
          <w:sz w:val="16"/>
          <w:szCs w:val="16"/>
        </w:rPr>
        <w:t xml:space="preserve"> </w:t>
      </w:r>
      <w:proofErr w:type="spellStart"/>
      <w:r w:rsidRPr="003E385D">
        <w:rPr>
          <w:sz w:val="16"/>
          <w:szCs w:val="16"/>
        </w:rPr>
        <w:t>Essa</w:t>
      </w:r>
      <w:proofErr w:type="spellEnd"/>
      <w:r w:rsidRPr="003E385D">
        <w:rPr>
          <w:sz w:val="16"/>
          <w:szCs w:val="16"/>
        </w:rPr>
        <w:t xml:space="preserve">, and Gregory D. </w:t>
      </w:r>
      <w:proofErr w:type="spellStart"/>
      <w:r w:rsidRPr="003E385D">
        <w:rPr>
          <w:sz w:val="16"/>
          <w:szCs w:val="16"/>
        </w:rPr>
        <w:t>Abowd</w:t>
      </w:r>
      <w:proofErr w:type="spellEnd"/>
      <w:r w:rsidRPr="003E385D">
        <w:rPr>
          <w:sz w:val="16"/>
          <w:szCs w:val="16"/>
        </w:rPr>
        <w:t xml:space="preserve">. 2015. A Practical Approach for Recognizing Eating Moments with Wrist-Mounted Inertial Sensing. In </w:t>
      </w:r>
      <w:r w:rsidRPr="003E385D">
        <w:rPr>
          <w:i/>
          <w:iCs/>
          <w:sz w:val="16"/>
          <w:szCs w:val="16"/>
        </w:rPr>
        <w:t>Proceedings of the ACM International Joint Conference on Pervasive Ubiquitous Computing</w:t>
      </w:r>
      <w:r w:rsidRPr="003E385D">
        <w:rPr>
          <w:sz w:val="16"/>
          <w:szCs w:val="16"/>
        </w:rPr>
        <w:t xml:space="preserve">. ACM. </w:t>
      </w:r>
    </w:p>
    <w:p w14:paraId="440F7F76" w14:textId="21444476"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Jon Froehlich, Mike Y. Chen, Sunny </w:t>
      </w:r>
      <w:proofErr w:type="spellStart"/>
      <w:r w:rsidRPr="003E385D">
        <w:rPr>
          <w:sz w:val="16"/>
          <w:szCs w:val="16"/>
        </w:rPr>
        <w:t>Consolvo</w:t>
      </w:r>
      <w:proofErr w:type="spellEnd"/>
      <w:r w:rsidRPr="003E385D">
        <w:rPr>
          <w:sz w:val="16"/>
          <w:szCs w:val="16"/>
        </w:rPr>
        <w:t xml:space="preserve">, Beverly Harrison, and James A. </w:t>
      </w:r>
      <w:proofErr w:type="spellStart"/>
      <w:r w:rsidRPr="003E385D">
        <w:rPr>
          <w:sz w:val="16"/>
          <w:szCs w:val="16"/>
        </w:rPr>
        <w:t>Landay</w:t>
      </w:r>
      <w:proofErr w:type="spellEnd"/>
      <w:r w:rsidRPr="003E385D">
        <w:rPr>
          <w:sz w:val="16"/>
          <w:szCs w:val="16"/>
        </w:rPr>
        <w:t xml:space="preserve">. 2007. </w:t>
      </w:r>
      <w:proofErr w:type="spellStart"/>
      <w:r w:rsidRPr="003E385D">
        <w:rPr>
          <w:sz w:val="16"/>
          <w:szCs w:val="16"/>
        </w:rPr>
        <w:t>MyExperience</w:t>
      </w:r>
      <w:proofErr w:type="spellEnd"/>
      <w:r w:rsidRPr="003E385D">
        <w:rPr>
          <w:sz w:val="16"/>
          <w:szCs w:val="16"/>
        </w:rPr>
        <w:t xml:space="preserve">: A System for in Situ Tracing and Capturing of User Feedback on Mobile Phones. In </w:t>
      </w:r>
      <w:r w:rsidRPr="003E385D">
        <w:rPr>
          <w:i/>
          <w:iCs/>
          <w:sz w:val="16"/>
          <w:szCs w:val="16"/>
        </w:rPr>
        <w:t>Proceedings of the 5th International Conference on Mobile Systems, Applications and Services (</w:t>
      </w:r>
      <w:proofErr w:type="spellStart"/>
      <w:r w:rsidRPr="003E385D">
        <w:rPr>
          <w:i/>
          <w:iCs/>
          <w:sz w:val="16"/>
          <w:szCs w:val="16"/>
        </w:rPr>
        <w:t>MobiSys</w:t>
      </w:r>
      <w:proofErr w:type="spellEnd"/>
      <w:r w:rsidRPr="003E385D">
        <w:rPr>
          <w:i/>
          <w:iCs/>
          <w:sz w:val="16"/>
          <w:szCs w:val="16"/>
        </w:rPr>
        <w:t xml:space="preserve"> ’07)</w:t>
      </w:r>
      <w:r w:rsidRPr="003E385D">
        <w:rPr>
          <w:sz w:val="16"/>
          <w:szCs w:val="16"/>
        </w:rPr>
        <w:t xml:space="preserve">. ACM, New York, NY, USA, 57–70. DOI: http://dx.doi.org/10.1145/1247660.1247670 </w:t>
      </w:r>
    </w:p>
    <w:p w14:paraId="21999A8D" w14:textId="530323E7" w:rsidR="003E385D" w:rsidRPr="003E385D" w:rsidRDefault="003E385D" w:rsidP="003E385D">
      <w:pPr>
        <w:pStyle w:val="ListParagraph"/>
        <w:widowControl w:val="0"/>
        <w:numPr>
          <w:ilvl w:val="0"/>
          <w:numId w:val="19"/>
        </w:numPr>
        <w:adjustRightInd w:val="0"/>
        <w:spacing w:after="240"/>
        <w:rPr>
          <w:sz w:val="16"/>
          <w:szCs w:val="16"/>
        </w:rPr>
      </w:pPr>
      <w:proofErr w:type="spellStart"/>
      <w:r w:rsidRPr="003E385D">
        <w:rPr>
          <w:sz w:val="16"/>
          <w:szCs w:val="16"/>
        </w:rPr>
        <w:t>Maja</w:t>
      </w:r>
      <w:proofErr w:type="spellEnd"/>
      <w:r w:rsidRPr="003E385D">
        <w:rPr>
          <w:sz w:val="16"/>
          <w:szCs w:val="16"/>
        </w:rPr>
        <w:t xml:space="preserve"> </w:t>
      </w:r>
      <w:proofErr w:type="spellStart"/>
      <w:r w:rsidRPr="003E385D">
        <w:rPr>
          <w:sz w:val="16"/>
          <w:szCs w:val="16"/>
        </w:rPr>
        <w:t>Stikic</w:t>
      </w:r>
      <w:proofErr w:type="spellEnd"/>
      <w:r w:rsidRPr="003E385D">
        <w:rPr>
          <w:sz w:val="16"/>
          <w:szCs w:val="16"/>
        </w:rPr>
        <w:t xml:space="preserve"> and </w:t>
      </w:r>
      <w:proofErr w:type="spellStart"/>
      <w:r w:rsidRPr="003E385D">
        <w:rPr>
          <w:sz w:val="16"/>
          <w:szCs w:val="16"/>
        </w:rPr>
        <w:t>Bernt</w:t>
      </w:r>
      <w:proofErr w:type="spellEnd"/>
      <w:r w:rsidRPr="003E385D">
        <w:rPr>
          <w:sz w:val="16"/>
          <w:szCs w:val="16"/>
        </w:rPr>
        <w:t xml:space="preserve"> </w:t>
      </w:r>
      <w:proofErr w:type="spellStart"/>
      <w:r w:rsidRPr="003E385D">
        <w:rPr>
          <w:sz w:val="16"/>
          <w:szCs w:val="16"/>
        </w:rPr>
        <w:t>Schiele</w:t>
      </w:r>
      <w:proofErr w:type="spellEnd"/>
      <w:r w:rsidRPr="003E385D">
        <w:rPr>
          <w:sz w:val="16"/>
          <w:szCs w:val="16"/>
        </w:rPr>
        <w:t xml:space="preserve">. 2009. </w:t>
      </w:r>
      <w:r w:rsidRPr="003E385D">
        <w:rPr>
          <w:i/>
          <w:iCs/>
          <w:sz w:val="16"/>
          <w:szCs w:val="16"/>
        </w:rPr>
        <w:t xml:space="preserve">Location and Context Awareness: 4th International Symposium, </w:t>
      </w:r>
      <w:proofErr w:type="spellStart"/>
      <w:r w:rsidRPr="003E385D">
        <w:rPr>
          <w:i/>
          <w:iCs/>
          <w:sz w:val="16"/>
          <w:szCs w:val="16"/>
        </w:rPr>
        <w:t>LoCA</w:t>
      </w:r>
      <w:proofErr w:type="spellEnd"/>
      <w:r w:rsidRPr="003E385D">
        <w:rPr>
          <w:i/>
          <w:iCs/>
          <w:sz w:val="16"/>
          <w:szCs w:val="16"/>
        </w:rPr>
        <w:t xml:space="preserve"> 2009 Tokyo, Japan, May 7-8, 2009 Proceedings</w:t>
      </w:r>
      <w:r w:rsidRPr="003E385D">
        <w:rPr>
          <w:sz w:val="16"/>
          <w:szCs w:val="16"/>
        </w:rPr>
        <w:t xml:space="preserve">. Springer Berlin Heidelberg, Berlin, Heidelberg, Chapter Activity Recognition from Sparsely Labeled Data Using Multi-Instance Learning, 156–173. DOI: http://dx.doi.org/10.1007/978- 3- 642- 01721- 6_10 </w:t>
      </w:r>
    </w:p>
    <w:p w14:paraId="30428913" w14:textId="7C0C7B1D" w:rsidR="00C2692F" w:rsidRDefault="003E385D" w:rsidP="000D03BB">
      <w:pPr>
        <w:pStyle w:val="ListParagraph"/>
        <w:widowControl w:val="0"/>
        <w:numPr>
          <w:ilvl w:val="0"/>
          <w:numId w:val="19"/>
        </w:numPr>
        <w:adjustRightInd w:val="0"/>
        <w:spacing w:after="240"/>
        <w:rPr>
          <w:sz w:val="16"/>
          <w:szCs w:val="16"/>
        </w:rPr>
      </w:pPr>
      <w:r w:rsidRPr="003E385D">
        <w:rPr>
          <w:sz w:val="16"/>
          <w:szCs w:val="16"/>
        </w:rPr>
        <w:t xml:space="preserve">D. </w:t>
      </w:r>
      <w:proofErr w:type="spellStart"/>
      <w:r w:rsidRPr="003E385D">
        <w:rPr>
          <w:sz w:val="16"/>
          <w:szCs w:val="16"/>
        </w:rPr>
        <w:t>Trabelsi</w:t>
      </w:r>
      <w:proofErr w:type="spellEnd"/>
      <w:r w:rsidRPr="003E385D">
        <w:rPr>
          <w:sz w:val="16"/>
          <w:szCs w:val="16"/>
        </w:rPr>
        <w:t xml:space="preserve">, </w:t>
      </w:r>
      <w:proofErr w:type="spellStart"/>
      <w:r w:rsidRPr="003E385D">
        <w:rPr>
          <w:sz w:val="16"/>
          <w:szCs w:val="16"/>
        </w:rPr>
        <w:t>Samer</w:t>
      </w:r>
      <w:proofErr w:type="spellEnd"/>
      <w:r w:rsidRPr="003E385D">
        <w:rPr>
          <w:sz w:val="16"/>
          <w:szCs w:val="16"/>
        </w:rPr>
        <w:t xml:space="preserve"> Mohammed, F. </w:t>
      </w:r>
      <w:proofErr w:type="spellStart"/>
      <w:r w:rsidRPr="003E385D">
        <w:rPr>
          <w:sz w:val="16"/>
          <w:szCs w:val="16"/>
        </w:rPr>
        <w:t>Chamroukhi</w:t>
      </w:r>
      <w:proofErr w:type="spellEnd"/>
      <w:r w:rsidRPr="003E385D">
        <w:rPr>
          <w:sz w:val="16"/>
          <w:szCs w:val="16"/>
        </w:rPr>
        <w:t xml:space="preserve">, L. </w:t>
      </w:r>
      <w:proofErr w:type="spellStart"/>
      <w:r w:rsidRPr="003E385D">
        <w:rPr>
          <w:sz w:val="16"/>
          <w:szCs w:val="16"/>
        </w:rPr>
        <w:t>Oukhellou</w:t>
      </w:r>
      <w:proofErr w:type="spellEnd"/>
      <w:r w:rsidRPr="003E385D">
        <w:rPr>
          <w:sz w:val="16"/>
          <w:szCs w:val="16"/>
        </w:rPr>
        <w:t xml:space="preserve">, and </w:t>
      </w:r>
      <w:proofErr w:type="spellStart"/>
      <w:r w:rsidRPr="003E385D">
        <w:rPr>
          <w:sz w:val="16"/>
          <w:szCs w:val="16"/>
        </w:rPr>
        <w:t>Yacine</w:t>
      </w:r>
      <w:proofErr w:type="spellEnd"/>
      <w:r w:rsidRPr="003E385D">
        <w:rPr>
          <w:sz w:val="16"/>
          <w:szCs w:val="16"/>
        </w:rPr>
        <w:t xml:space="preserve"> </w:t>
      </w:r>
      <w:proofErr w:type="spellStart"/>
      <w:r w:rsidRPr="003E385D">
        <w:rPr>
          <w:sz w:val="16"/>
          <w:szCs w:val="16"/>
        </w:rPr>
        <w:t>Amirat</w:t>
      </w:r>
      <w:proofErr w:type="spellEnd"/>
      <w:r w:rsidRPr="003E385D">
        <w:rPr>
          <w:sz w:val="16"/>
          <w:szCs w:val="16"/>
        </w:rPr>
        <w:t xml:space="preserve">. 2013. An unsupervised approach for automatic activity recognition based on hidden Markov model regression. </w:t>
      </w:r>
      <w:r w:rsidRPr="003E385D">
        <w:rPr>
          <w:i/>
          <w:iCs/>
          <w:sz w:val="16"/>
          <w:szCs w:val="16"/>
        </w:rPr>
        <w:t xml:space="preserve">IEEE Transactions on Automation Science and Engineering </w:t>
      </w:r>
      <w:r w:rsidRPr="003E385D">
        <w:rPr>
          <w:sz w:val="16"/>
          <w:szCs w:val="16"/>
        </w:rPr>
        <w:t xml:space="preserve">Regular paper, in press, DOI: 10.1109/TASE.2013.2256349 (2013). </w:t>
      </w:r>
    </w:p>
    <w:p w14:paraId="33E2A456" w14:textId="2E63CF43" w:rsidR="001B1585" w:rsidRDefault="001B1585" w:rsidP="000D03BB">
      <w:pPr>
        <w:pStyle w:val="ListParagraph"/>
        <w:widowControl w:val="0"/>
        <w:numPr>
          <w:ilvl w:val="0"/>
          <w:numId w:val="19"/>
        </w:numPr>
        <w:adjustRightInd w:val="0"/>
        <w:spacing w:after="240"/>
        <w:rPr>
          <w:sz w:val="16"/>
          <w:szCs w:val="16"/>
        </w:rPr>
      </w:pPr>
      <w:proofErr w:type="spellStart"/>
      <w:r w:rsidRPr="001B1585">
        <w:rPr>
          <w:sz w:val="16"/>
          <w:szCs w:val="16"/>
        </w:rPr>
        <w:t>Oded</w:t>
      </w:r>
      <w:proofErr w:type="spellEnd"/>
      <w:r w:rsidRPr="001B1585">
        <w:rPr>
          <w:sz w:val="16"/>
          <w:szCs w:val="16"/>
        </w:rPr>
        <w:t xml:space="preserve"> </w:t>
      </w:r>
      <w:proofErr w:type="spellStart"/>
      <w:proofErr w:type="gramStart"/>
      <w:r w:rsidRPr="001B1585">
        <w:rPr>
          <w:sz w:val="16"/>
          <w:szCs w:val="16"/>
        </w:rPr>
        <w:t>Maron</w:t>
      </w:r>
      <w:proofErr w:type="spellEnd"/>
      <w:r w:rsidRPr="001B1585">
        <w:rPr>
          <w:sz w:val="16"/>
          <w:szCs w:val="16"/>
        </w:rPr>
        <w:t xml:space="preserve"> ,</w:t>
      </w:r>
      <w:proofErr w:type="gramEnd"/>
      <w:r w:rsidRPr="001B1585">
        <w:rPr>
          <w:sz w:val="16"/>
          <w:szCs w:val="16"/>
        </w:rPr>
        <w:t xml:space="preserve"> </w:t>
      </w:r>
      <w:proofErr w:type="spellStart"/>
      <w:r w:rsidRPr="001B1585">
        <w:rPr>
          <w:sz w:val="16"/>
          <w:szCs w:val="16"/>
        </w:rPr>
        <w:t>Tomás</w:t>
      </w:r>
      <w:proofErr w:type="spellEnd"/>
      <w:r w:rsidRPr="001B1585">
        <w:rPr>
          <w:sz w:val="16"/>
          <w:szCs w:val="16"/>
        </w:rPr>
        <w:t xml:space="preserve"> Lozano-Pérez, A framework for multiple-instance learning, </w:t>
      </w:r>
      <w:r w:rsidRPr="001B1585">
        <w:rPr>
          <w:i/>
          <w:iCs/>
          <w:sz w:val="16"/>
          <w:szCs w:val="16"/>
        </w:rPr>
        <w:t>Proc. of the 1997 Conf. on Advances in Neural Information Processing Systems</w:t>
      </w:r>
      <w:r w:rsidRPr="001B1585">
        <w:rPr>
          <w:sz w:val="16"/>
          <w:szCs w:val="16"/>
        </w:rPr>
        <w:t xml:space="preserve"> 10, p.570-576, 1998</w:t>
      </w:r>
    </w:p>
    <w:p w14:paraId="656D53D9" w14:textId="77777777" w:rsidR="005D3129" w:rsidRDefault="00595862" w:rsidP="005D3129">
      <w:pPr>
        <w:pStyle w:val="ListParagraph"/>
        <w:widowControl w:val="0"/>
        <w:numPr>
          <w:ilvl w:val="0"/>
          <w:numId w:val="19"/>
        </w:numPr>
        <w:adjustRightInd w:val="0"/>
        <w:spacing w:after="240"/>
        <w:rPr>
          <w:sz w:val="16"/>
          <w:szCs w:val="16"/>
        </w:rPr>
      </w:pPr>
      <w:r w:rsidRPr="00595862">
        <w:rPr>
          <w:sz w:val="16"/>
          <w:szCs w:val="16"/>
        </w:rPr>
        <w:t xml:space="preserve">T. G. </w:t>
      </w:r>
      <w:proofErr w:type="spellStart"/>
      <w:r w:rsidRPr="00595862">
        <w:rPr>
          <w:sz w:val="16"/>
          <w:szCs w:val="16"/>
        </w:rPr>
        <w:t>Dietterich</w:t>
      </w:r>
      <w:proofErr w:type="spellEnd"/>
      <w:r w:rsidRPr="00595862">
        <w:rPr>
          <w:sz w:val="16"/>
          <w:szCs w:val="16"/>
        </w:rPr>
        <w:t>, R. H. Lathrop, T. Lozano-Perez. Solving the Multiple-Instance Problem with Axis-Parallel Rectangles. Artificial Intelligence Journal, 89, 1997.</w:t>
      </w:r>
    </w:p>
    <w:p w14:paraId="5525C043" w14:textId="77777777" w:rsidR="007F0C71" w:rsidRDefault="00595862" w:rsidP="007F0C71">
      <w:pPr>
        <w:pStyle w:val="ListParagraph"/>
        <w:widowControl w:val="0"/>
        <w:numPr>
          <w:ilvl w:val="0"/>
          <w:numId w:val="19"/>
        </w:numPr>
        <w:adjustRightInd w:val="0"/>
        <w:spacing w:after="240"/>
        <w:rPr>
          <w:sz w:val="16"/>
          <w:szCs w:val="16"/>
        </w:rPr>
      </w:pPr>
      <w:r w:rsidRPr="005D3129">
        <w:rPr>
          <w:sz w:val="16"/>
          <w:szCs w:val="16"/>
        </w:rPr>
        <w:t>Zhou, Z</w:t>
      </w:r>
      <w:proofErr w:type="gramStart"/>
      <w:r w:rsidRPr="005D3129">
        <w:rPr>
          <w:sz w:val="16"/>
          <w:szCs w:val="16"/>
        </w:rPr>
        <w:t>.-</w:t>
      </w:r>
      <w:proofErr w:type="gramEnd"/>
      <w:r w:rsidRPr="005D3129">
        <w:rPr>
          <w:sz w:val="16"/>
          <w:szCs w:val="16"/>
        </w:rPr>
        <w:t xml:space="preserve">H. &amp; Zhang, M.-L. 2006. </w:t>
      </w:r>
      <w:proofErr w:type="gramStart"/>
      <w:r w:rsidRPr="005D3129">
        <w:rPr>
          <w:sz w:val="16"/>
          <w:szCs w:val="16"/>
        </w:rPr>
        <w:t xml:space="preserve">Multi-instance multi-label learning </w:t>
      </w:r>
      <w:r w:rsidRPr="005D3129">
        <w:rPr>
          <w:sz w:val="16"/>
          <w:szCs w:val="16"/>
        </w:rPr>
        <w:lastRenderedPageBreak/>
        <w:t>with application to scene classification.</w:t>
      </w:r>
      <w:proofErr w:type="gramEnd"/>
      <w:r w:rsidRPr="005D3129">
        <w:rPr>
          <w:sz w:val="16"/>
          <w:szCs w:val="16"/>
        </w:rPr>
        <w:t xml:space="preserve"> In Proceedings of the 20th Annual Conference on Neural Information Processing Systems</w:t>
      </w:r>
      <w:r w:rsidR="005D3129">
        <w:rPr>
          <w:sz w:val="16"/>
          <w:szCs w:val="16"/>
        </w:rPr>
        <w:t xml:space="preserve">, MIT </w:t>
      </w:r>
      <w:r w:rsidR="005D3129" w:rsidRPr="007F0C71">
        <w:rPr>
          <w:sz w:val="16"/>
          <w:szCs w:val="16"/>
        </w:rPr>
        <w:t>Press, 1609–1616.</w:t>
      </w:r>
    </w:p>
    <w:p w14:paraId="0D453841" w14:textId="0F17C22B" w:rsidR="007F0C71" w:rsidRPr="007F0C71" w:rsidRDefault="007F0C71" w:rsidP="007F0C71">
      <w:pPr>
        <w:pStyle w:val="ListParagraph"/>
        <w:widowControl w:val="0"/>
        <w:numPr>
          <w:ilvl w:val="0"/>
          <w:numId w:val="19"/>
        </w:numPr>
        <w:adjustRightInd w:val="0"/>
        <w:spacing w:after="240"/>
        <w:rPr>
          <w:sz w:val="16"/>
          <w:szCs w:val="16"/>
        </w:rPr>
      </w:pPr>
      <w:proofErr w:type="spellStart"/>
      <w:r w:rsidRPr="007F0C71">
        <w:rPr>
          <w:sz w:val="16"/>
          <w:szCs w:val="16"/>
        </w:rPr>
        <w:t>Chevaleyre</w:t>
      </w:r>
      <w:proofErr w:type="spellEnd"/>
      <w:r w:rsidRPr="007F0C71">
        <w:rPr>
          <w:sz w:val="16"/>
          <w:szCs w:val="16"/>
        </w:rPr>
        <w:t xml:space="preserve">, Y. &amp; </w:t>
      </w:r>
      <w:proofErr w:type="spellStart"/>
      <w:r w:rsidRPr="007F0C71">
        <w:rPr>
          <w:sz w:val="16"/>
          <w:szCs w:val="16"/>
        </w:rPr>
        <w:t>Zucker</w:t>
      </w:r>
      <w:proofErr w:type="spellEnd"/>
      <w:r w:rsidRPr="007F0C71">
        <w:rPr>
          <w:sz w:val="16"/>
          <w:szCs w:val="16"/>
        </w:rPr>
        <w:t>, J</w:t>
      </w:r>
      <w:proofErr w:type="gramStart"/>
      <w:r w:rsidRPr="007F0C71">
        <w:rPr>
          <w:sz w:val="16"/>
          <w:szCs w:val="16"/>
        </w:rPr>
        <w:t>.-</w:t>
      </w:r>
      <w:proofErr w:type="gramEnd"/>
      <w:r w:rsidRPr="007F0C71">
        <w:rPr>
          <w:sz w:val="16"/>
          <w:szCs w:val="16"/>
        </w:rPr>
        <w:t xml:space="preserve">D. 2001. Solving multiple-instance and multiple-part learning problems with decision trees and rule sets. </w:t>
      </w:r>
      <w:proofErr w:type="gramStart"/>
      <w:r w:rsidRPr="007F0C71">
        <w:rPr>
          <w:sz w:val="16"/>
          <w:szCs w:val="16"/>
        </w:rPr>
        <w:t>Application to the mutagenesis problem.</w:t>
      </w:r>
      <w:proofErr w:type="gramEnd"/>
      <w:r w:rsidRPr="007F0C71">
        <w:rPr>
          <w:sz w:val="16"/>
          <w:szCs w:val="16"/>
        </w:rPr>
        <w:t xml:space="preserve"> In Proceedings of the 14th Biennial Conference of the Canadian Society for Computational Studies of Intelligence, Springer, 204–214.</w:t>
      </w:r>
    </w:p>
    <w:p w14:paraId="729287AC" w14:textId="77777777" w:rsidR="00595862" w:rsidRPr="00595862" w:rsidRDefault="00595862" w:rsidP="000D03BB">
      <w:pPr>
        <w:pStyle w:val="ListParagraph"/>
        <w:widowControl w:val="0"/>
        <w:numPr>
          <w:ilvl w:val="0"/>
          <w:numId w:val="19"/>
        </w:numPr>
        <w:adjustRightInd w:val="0"/>
        <w:spacing w:after="240"/>
        <w:rPr>
          <w:sz w:val="16"/>
          <w:szCs w:val="16"/>
        </w:rPr>
      </w:pPr>
    </w:p>
    <w:sectPr w:rsidR="00595862" w:rsidRPr="00595862" w:rsidSect="0015028E">
      <w:headerReference w:type="default" r:id="rId10"/>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96E01" w14:textId="77777777" w:rsidR="00921A78" w:rsidRDefault="00921A78">
      <w:r>
        <w:separator/>
      </w:r>
    </w:p>
  </w:endnote>
  <w:endnote w:type="continuationSeparator" w:id="0">
    <w:p w14:paraId="18BEFEB4" w14:textId="77777777" w:rsidR="00921A78" w:rsidRDefault="00921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A29B2" w14:textId="77777777" w:rsidR="00921A78" w:rsidRDefault="00921A78"/>
  </w:footnote>
  <w:footnote w:type="continuationSeparator" w:id="0">
    <w:p w14:paraId="2C67CC68" w14:textId="77777777" w:rsidR="00921A78" w:rsidRDefault="00921A78">
      <w:r>
        <w:continuationSeparator/>
      </w:r>
    </w:p>
  </w:footnote>
  <w:footnote w:id="1">
    <w:p w14:paraId="3709CE22" w14:textId="77777777" w:rsidR="00921A78" w:rsidRDefault="00921A78">
      <w:pPr>
        <w:pStyle w:val="FootnoteText"/>
      </w:pPr>
      <w:r>
        <w:t>*Research supported by ABC Foundation.</w:t>
      </w:r>
    </w:p>
    <w:p w14:paraId="0E35C19A" w14:textId="77777777" w:rsidR="00921A78" w:rsidRDefault="00921A78">
      <w:pPr>
        <w:pStyle w:val="FootnoteText"/>
      </w:pPr>
      <w:r>
        <w:t xml:space="preserve">F. A. Author is with the National Institute of Standards and Technology, Boulder, CO 80305 USA (corresponding author to provide phone: 303-555-5555; fax: 303-555-5555; e-mail: author@ boulder.nist.gov). </w:t>
      </w:r>
    </w:p>
    <w:p w14:paraId="3F50DCDB" w14:textId="77777777" w:rsidR="00921A78" w:rsidRDefault="00921A78">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1C3581F8" w14:textId="77777777" w:rsidR="00921A78" w:rsidRDefault="00921A78">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DA420" w14:textId="77777777" w:rsidR="00921A78" w:rsidRDefault="00921A78">
    <w:pPr>
      <w:framePr w:wrap="auto" w:vAnchor="text" w:hAnchor="margin" w:xAlign="right" w:y="1"/>
    </w:pPr>
  </w:p>
  <w:p w14:paraId="365E4F58" w14:textId="77777777" w:rsidR="00921A78" w:rsidRDefault="00921A78" w:rsidP="00C2692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3E6"/>
    <w:rsid w:val="0006363A"/>
    <w:rsid w:val="000D03BB"/>
    <w:rsid w:val="0015028E"/>
    <w:rsid w:val="00193826"/>
    <w:rsid w:val="001A13E6"/>
    <w:rsid w:val="001B1585"/>
    <w:rsid w:val="001E068C"/>
    <w:rsid w:val="002074A9"/>
    <w:rsid w:val="0027023A"/>
    <w:rsid w:val="00290091"/>
    <w:rsid w:val="00374598"/>
    <w:rsid w:val="0038011C"/>
    <w:rsid w:val="003B3862"/>
    <w:rsid w:val="003E385D"/>
    <w:rsid w:val="003F61AC"/>
    <w:rsid w:val="003F7AD6"/>
    <w:rsid w:val="00414EA6"/>
    <w:rsid w:val="0041702C"/>
    <w:rsid w:val="00424B13"/>
    <w:rsid w:val="00434252"/>
    <w:rsid w:val="00440628"/>
    <w:rsid w:val="005609FF"/>
    <w:rsid w:val="0057464E"/>
    <w:rsid w:val="00584B86"/>
    <w:rsid w:val="00595862"/>
    <w:rsid w:val="005C1EAA"/>
    <w:rsid w:val="005D3129"/>
    <w:rsid w:val="00610313"/>
    <w:rsid w:val="006A126A"/>
    <w:rsid w:val="006C6F0D"/>
    <w:rsid w:val="006E610B"/>
    <w:rsid w:val="00706EF4"/>
    <w:rsid w:val="00720D6F"/>
    <w:rsid w:val="00782B9C"/>
    <w:rsid w:val="007E755A"/>
    <w:rsid w:val="007F0C71"/>
    <w:rsid w:val="007F61BC"/>
    <w:rsid w:val="00815C3B"/>
    <w:rsid w:val="0085502C"/>
    <w:rsid w:val="008569CB"/>
    <w:rsid w:val="0086080F"/>
    <w:rsid w:val="00896292"/>
    <w:rsid w:val="00900F93"/>
    <w:rsid w:val="00921A78"/>
    <w:rsid w:val="009A27E0"/>
    <w:rsid w:val="009D7708"/>
    <w:rsid w:val="009E5304"/>
    <w:rsid w:val="00A33179"/>
    <w:rsid w:val="00A33429"/>
    <w:rsid w:val="00A43771"/>
    <w:rsid w:val="00A94EB1"/>
    <w:rsid w:val="00AA1245"/>
    <w:rsid w:val="00B271CF"/>
    <w:rsid w:val="00B43B61"/>
    <w:rsid w:val="00B92580"/>
    <w:rsid w:val="00BC4269"/>
    <w:rsid w:val="00BD57A4"/>
    <w:rsid w:val="00C2692F"/>
    <w:rsid w:val="00C9670E"/>
    <w:rsid w:val="00CB2C4C"/>
    <w:rsid w:val="00CF7ABF"/>
    <w:rsid w:val="00D01553"/>
    <w:rsid w:val="00D36645"/>
    <w:rsid w:val="00D73CCA"/>
    <w:rsid w:val="00DE0253"/>
    <w:rsid w:val="00E63552"/>
    <w:rsid w:val="00E84F7B"/>
    <w:rsid w:val="00EB336E"/>
    <w:rsid w:val="00EC1536"/>
    <w:rsid w:val="00FA2D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18A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3E385D"/>
    <w:pPr>
      <w:ind w:left="720"/>
      <w:contextualSpacing/>
    </w:pPr>
  </w:style>
  <w:style w:type="paragraph" w:styleId="BalloonText">
    <w:name w:val="Balloon Text"/>
    <w:basedOn w:val="Normal"/>
    <w:link w:val="BalloonTextChar"/>
    <w:semiHidden/>
    <w:unhideWhenUsed/>
    <w:rsid w:val="00B43B61"/>
    <w:rPr>
      <w:rFonts w:ascii="Lucida Grande" w:hAnsi="Lucida Grande" w:cs="Lucida Grande"/>
      <w:sz w:val="18"/>
      <w:szCs w:val="18"/>
    </w:rPr>
  </w:style>
  <w:style w:type="character" w:customStyle="1" w:styleId="BalloonTextChar">
    <w:name w:val="Balloon Text Char"/>
    <w:basedOn w:val="DefaultParagraphFont"/>
    <w:link w:val="BalloonText"/>
    <w:semiHidden/>
    <w:rsid w:val="00B43B61"/>
    <w:rPr>
      <w:rFonts w:ascii="Lucida Grande" w:hAnsi="Lucida Grande" w:cs="Lucida Grande"/>
      <w:sz w:val="18"/>
      <w:szCs w:val="18"/>
    </w:rPr>
  </w:style>
  <w:style w:type="paragraph" w:styleId="NormalWeb">
    <w:name w:val="Normal (Web)"/>
    <w:basedOn w:val="Normal"/>
    <w:uiPriority w:val="99"/>
    <w:semiHidden/>
    <w:unhideWhenUsed/>
    <w:rsid w:val="00595862"/>
    <w:pPr>
      <w:autoSpaceDE/>
      <w:autoSpaceDN/>
      <w:spacing w:before="100" w:beforeAutospacing="1" w:after="100" w:afterAutospacing="1"/>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3E385D"/>
    <w:pPr>
      <w:ind w:left="720"/>
      <w:contextualSpacing/>
    </w:pPr>
  </w:style>
  <w:style w:type="paragraph" w:styleId="BalloonText">
    <w:name w:val="Balloon Text"/>
    <w:basedOn w:val="Normal"/>
    <w:link w:val="BalloonTextChar"/>
    <w:semiHidden/>
    <w:unhideWhenUsed/>
    <w:rsid w:val="00B43B61"/>
    <w:rPr>
      <w:rFonts w:ascii="Lucida Grande" w:hAnsi="Lucida Grande" w:cs="Lucida Grande"/>
      <w:sz w:val="18"/>
      <w:szCs w:val="18"/>
    </w:rPr>
  </w:style>
  <w:style w:type="character" w:customStyle="1" w:styleId="BalloonTextChar">
    <w:name w:val="Balloon Text Char"/>
    <w:basedOn w:val="DefaultParagraphFont"/>
    <w:link w:val="BalloonText"/>
    <w:semiHidden/>
    <w:rsid w:val="00B43B61"/>
    <w:rPr>
      <w:rFonts w:ascii="Lucida Grande" w:hAnsi="Lucida Grande" w:cs="Lucida Grande"/>
      <w:sz w:val="18"/>
      <w:szCs w:val="18"/>
    </w:rPr>
  </w:style>
  <w:style w:type="paragraph" w:styleId="NormalWeb">
    <w:name w:val="Normal (Web)"/>
    <w:basedOn w:val="Normal"/>
    <w:uiPriority w:val="99"/>
    <w:semiHidden/>
    <w:unhideWhenUsed/>
    <w:rsid w:val="00595862"/>
    <w:pPr>
      <w:autoSpaceDE/>
      <w:autoSpaceDN/>
      <w:spacing w:before="100" w:beforeAutospacing="1" w:after="100" w:afterAutospacing="1"/>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63051">
      <w:bodyDiv w:val="1"/>
      <w:marLeft w:val="0"/>
      <w:marRight w:val="0"/>
      <w:marTop w:val="0"/>
      <w:marBottom w:val="0"/>
      <w:divBdr>
        <w:top w:val="none" w:sz="0" w:space="0" w:color="auto"/>
        <w:left w:val="none" w:sz="0" w:space="0" w:color="auto"/>
        <w:bottom w:val="none" w:sz="0" w:space="0" w:color="auto"/>
        <w:right w:val="none" w:sz="0" w:space="0" w:color="auto"/>
      </w:divBdr>
      <w:divsChild>
        <w:div w:id="1451513879">
          <w:marLeft w:val="0"/>
          <w:marRight w:val="0"/>
          <w:marTop w:val="0"/>
          <w:marBottom w:val="0"/>
          <w:divBdr>
            <w:top w:val="none" w:sz="0" w:space="0" w:color="auto"/>
            <w:left w:val="none" w:sz="0" w:space="0" w:color="auto"/>
            <w:bottom w:val="none" w:sz="0" w:space="0" w:color="auto"/>
            <w:right w:val="none" w:sz="0" w:space="0" w:color="auto"/>
          </w:divBdr>
          <w:divsChild>
            <w:div w:id="1674841108">
              <w:marLeft w:val="0"/>
              <w:marRight w:val="0"/>
              <w:marTop w:val="0"/>
              <w:marBottom w:val="0"/>
              <w:divBdr>
                <w:top w:val="none" w:sz="0" w:space="0" w:color="auto"/>
                <w:left w:val="none" w:sz="0" w:space="0" w:color="auto"/>
                <w:bottom w:val="none" w:sz="0" w:space="0" w:color="auto"/>
                <w:right w:val="none" w:sz="0" w:space="0" w:color="auto"/>
              </w:divBdr>
              <w:divsChild>
                <w:div w:id="6760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4787">
      <w:bodyDiv w:val="1"/>
      <w:marLeft w:val="0"/>
      <w:marRight w:val="0"/>
      <w:marTop w:val="0"/>
      <w:marBottom w:val="0"/>
      <w:divBdr>
        <w:top w:val="none" w:sz="0" w:space="0" w:color="auto"/>
        <w:left w:val="none" w:sz="0" w:space="0" w:color="auto"/>
        <w:bottom w:val="none" w:sz="0" w:space="0" w:color="auto"/>
        <w:right w:val="none" w:sz="0" w:space="0" w:color="auto"/>
      </w:divBdr>
      <w:divsChild>
        <w:div w:id="923412938">
          <w:marLeft w:val="0"/>
          <w:marRight w:val="0"/>
          <w:marTop w:val="0"/>
          <w:marBottom w:val="0"/>
          <w:divBdr>
            <w:top w:val="none" w:sz="0" w:space="0" w:color="auto"/>
            <w:left w:val="none" w:sz="0" w:space="0" w:color="auto"/>
            <w:bottom w:val="none" w:sz="0" w:space="0" w:color="auto"/>
            <w:right w:val="none" w:sz="0" w:space="0" w:color="auto"/>
          </w:divBdr>
          <w:divsChild>
            <w:div w:id="1324510530">
              <w:marLeft w:val="0"/>
              <w:marRight w:val="0"/>
              <w:marTop w:val="0"/>
              <w:marBottom w:val="0"/>
              <w:divBdr>
                <w:top w:val="none" w:sz="0" w:space="0" w:color="auto"/>
                <w:left w:val="none" w:sz="0" w:space="0" w:color="auto"/>
                <w:bottom w:val="none" w:sz="0" w:space="0" w:color="auto"/>
                <w:right w:val="none" w:sz="0" w:space="0" w:color="auto"/>
              </w:divBdr>
              <w:divsChild>
                <w:div w:id="1922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9126">
      <w:bodyDiv w:val="1"/>
      <w:marLeft w:val="0"/>
      <w:marRight w:val="0"/>
      <w:marTop w:val="0"/>
      <w:marBottom w:val="0"/>
      <w:divBdr>
        <w:top w:val="none" w:sz="0" w:space="0" w:color="auto"/>
        <w:left w:val="none" w:sz="0" w:space="0" w:color="auto"/>
        <w:bottom w:val="none" w:sz="0" w:space="0" w:color="auto"/>
        <w:right w:val="none" w:sz="0" w:space="0" w:color="auto"/>
      </w:divBdr>
      <w:divsChild>
        <w:div w:id="650990399">
          <w:marLeft w:val="0"/>
          <w:marRight w:val="0"/>
          <w:marTop w:val="0"/>
          <w:marBottom w:val="0"/>
          <w:divBdr>
            <w:top w:val="none" w:sz="0" w:space="0" w:color="auto"/>
            <w:left w:val="none" w:sz="0" w:space="0" w:color="auto"/>
            <w:bottom w:val="none" w:sz="0" w:space="0" w:color="auto"/>
            <w:right w:val="none" w:sz="0" w:space="0" w:color="auto"/>
          </w:divBdr>
          <w:divsChild>
            <w:div w:id="1876038915">
              <w:marLeft w:val="0"/>
              <w:marRight w:val="0"/>
              <w:marTop w:val="0"/>
              <w:marBottom w:val="0"/>
              <w:divBdr>
                <w:top w:val="none" w:sz="0" w:space="0" w:color="auto"/>
                <w:left w:val="none" w:sz="0" w:space="0" w:color="auto"/>
                <w:bottom w:val="none" w:sz="0" w:space="0" w:color="auto"/>
                <w:right w:val="none" w:sz="0" w:space="0" w:color="auto"/>
              </w:divBdr>
              <w:divsChild>
                <w:div w:id="3345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0840">
      <w:bodyDiv w:val="1"/>
      <w:marLeft w:val="0"/>
      <w:marRight w:val="0"/>
      <w:marTop w:val="0"/>
      <w:marBottom w:val="0"/>
      <w:divBdr>
        <w:top w:val="none" w:sz="0" w:space="0" w:color="auto"/>
        <w:left w:val="none" w:sz="0" w:space="0" w:color="auto"/>
        <w:bottom w:val="none" w:sz="0" w:space="0" w:color="auto"/>
        <w:right w:val="none" w:sz="0" w:space="0" w:color="auto"/>
      </w:divBdr>
      <w:divsChild>
        <w:div w:id="64574916">
          <w:marLeft w:val="0"/>
          <w:marRight w:val="0"/>
          <w:marTop w:val="0"/>
          <w:marBottom w:val="0"/>
          <w:divBdr>
            <w:top w:val="none" w:sz="0" w:space="0" w:color="auto"/>
            <w:left w:val="none" w:sz="0" w:space="0" w:color="auto"/>
            <w:bottom w:val="none" w:sz="0" w:space="0" w:color="auto"/>
            <w:right w:val="none" w:sz="0" w:space="0" w:color="auto"/>
          </w:divBdr>
          <w:divsChild>
            <w:div w:id="1742947116">
              <w:marLeft w:val="0"/>
              <w:marRight w:val="0"/>
              <w:marTop w:val="0"/>
              <w:marBottom w:val="0"/>
              <w:divBdr>
                <w:top w:val="none" w:sz="0" w:space="0" w:color="auto"/>
                <w:left w:val="none" w:sz="0" w:space="0" w:color="auto"/>
                <w:bottom w:val="none" w:sz="0" w:space="0" w:color="auto"/>
                <w:right w:val="none" w:sz="0" w:space="0" w:color="auto"/>
              </w:divBdr>
              <w:divsChild>
                <w:div w:id="5618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F2E94-BAEC-F34F-AACC-5A4AF5BFC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\Users\jlotito\AppData\Local\Temp\ieeeconf_A4.dot</Template>
  <TotalTime>149</TotalTime>
  <Pages>5</Pages>
  <Words>3696</Words>
  <Characters>21070</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Sean Noran</cp:lastModifiedBy>
  <cp:revision>50</cp:revision>
  <cp:lastPrinted>2012-01-31T04:17:00Z</cp:lastPrinted>
  <dcterms:created xsi:type="dcterms:W3CDTF">2016-05-03T15:12:00Z</dcterms:created>
  <dcterms:modified xsi:type="dcterms:W3CDTF">2016-05-06T19:45:00Z</dcterms:modified>
</cp:coreProperties>
</file>