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Hospital Readmission Prediction Assignment</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Part 2: Case Study Application (40 points)</w:t>
      </w:r>
    </w:p>
    <w:p w:rsidR="00531A9E" w:rsidRPr="00531A9E" w:rsidRDefault="00531A9E" w:rsidP="00531A9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Problem Scope (5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Problem Definition: Develop an AI system to predict which patients are at high risk of readmission within 30 days of discharge to enable proactive interventions and improve patient outcomes while reducing healthcare costs.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Objectives:</w:t>
      </w:r>
    </w:p>
    <w:p w:rsidR="00531A9E" w:rsidRPr="00531A9E" w:rsidRDefault="00531A9E" w:rsidP="00531A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Identify high-risk patients with 80%+ accuracy before discharge</w:t>
      </w:r>
    </w:p>
    <w:p w:rsidR="00531A9E" w:rsidRPr="00531A9E" w:rsidRDefault="00531A9E" w:rsidP="00531A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Reduce 30-day readmission rates by 15% through targeted interventions</w:t>
      </w:r>
    </w:p>
    <w:p w:rsidR="00531A9E" w:rsidRPr="00531A9E" w:rsidRDefault="00531A9E" w:rsidP="00531A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Provide actionable insights to care teams for discharge planning</w:t>
      </w:r>
    </w:p>
    <w:p w:rsidR="00531A9E" w:rsidRPr="00531A9E" w:rsidRDefault="00531A9E" w:rsidP="00531A9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Optimize resource allocation for post-discharge care coordination</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Stakeholders:</w:t>
      </w:r>
    </w:p>
    <w:p w:rsidR="00531A9E" w:rsidRPr="00531A9E" w:rsidRDefault="00531A9E" w:rsidP="00531A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Primary: Physicians, nurses, discharge planners, case managers</w:t>
      </w:r>
    </w:p>
    <w:p w:rsidR="00531A9E" w:rsidRPr="00531A9E" w:rsidRDefault="00531A9E" w:rsidP="00531A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Secondary: Hospital administrators, insurance companies, patients and families</w:t>
      </w:r>
    </w:p>
    <w:p w:rsidR="00531A9E" w:rsidRPr="00531A9E" w:rsidRDefault="00531A9E" w:rsidP="00531A9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Regulatory: Healthcare quality oversight bodies, compliance officers</w:t>
      </w:r>
    </w:p>
    <w:p w:rsidR="00531A9E" w:rsidRPr="00531A9E" w:rsidRDefault="00531A9E" w:rsidP="00531A9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Data Strategy (10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Data Sources:</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Electronic Health Records (EHRs): Medical history, diagnoses, medications, vital signs, lab results</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Administrative data: Length of stay, admission type, insurance information, discharge disposition</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Demographics: Age, gender, socioeconomic indicators, geographic location</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Clinical notes: Discharge summaries, nursing notes (via NLP processing)</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Pharmacy data: Medication adherence, prescription complexity</w:t>
      </w:r>
    </w:p>
    <w:p w:rsidR="00531A9E" w:rsidRPr="00531A9E" w:rsidRDefault="00531A9E" w:rsidP="00531A9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Social determinants: Housing stability, transportation access, caregiver support</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2 Ethical Concerns:</w:t>
      </w:r>
    </w:p>
    <w:p w:rsidR="00531A9E" w:rsidRPr="00531A9E" w:rsidRDefault="00531A9E" w:rsidP="00531A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Patient Privacy and Data Security: EHRs contain highly sensitive personal health information that must be protected according to HIPAA regulations. Risk of data breaches or unauthorized access could expose patient information.</w:t>
      </w:r>
    </w:p>
    <w:p w:rsidR="00531A9E" w:rsidRPr="00531A9E" w:rsidRDefault="00531A9E" w:rsidP="00531A9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Algorithmic Bias and Health Equity: Training data may reflect historical healthcare disparities, potentially leading to biased predictions that could worsen outcomes for underserved populations (racial minorities, low-income patients).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31A9E">
        <w:rPr>
          <w:rFonts w:ascii="Times New Roman" w:eastAsia="Times New Roman" w:hAnsi="Times New Roman" w:cs="Times New Roman"/>
          <w:sz w:val="24"/>
          <w:szCs w:val="24"/>
          <w:lang w:eastAsia="en-GB"/>
        </w:rPr>
        <w:t>Preprocessing</w:t>
      </w:r>
      <w:proofErr w:type="spellEnd"/>
      <w:r w:rsidRPr="00531A9E">
        <w:rPr>
          <w:rFonts w:ascii="Times New Roman" w:eastAsia="Times New Roman" w:hAnsi="Times New Roman" w:cs="Times New Roman"/>
          <w:sz w:val="24"/>
          <w:szCs w:val="24"/>
          <w:lang w:eastAsia="en-GB"/>
        </w:rPr>
        <w:t xml:space="preserve"> Pipeline:</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Data Integration: Merge data from multiple hospital systems and standardize formats</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Missing Data Handling: Use clinical decision rules for critical values, multiple imputation for lab results</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lastRenderedPageBreak/>
        <w:t>Feature Engineering:</w:t>
      </w:r>
    </w:p>
    <w:p w:rsidR="00531A9E" w:rsidRPr="00531A9E" w:rsidRDefault="00531A9E" w:rsidP="00531A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Create comorbidity scores (</w:t>
      </w:r>
      <w:proofErr w:type="spellStart"/>
      <w:r w:rsidRPr="00531A9E">
        <w:rPr>
          <w:rFonts w:ascii="Times New Roman" w:eastAsia="Times New Roman" w:hAnsi="Times New Roman" w:cs="Times New Roman"/>
          <w:sz w:val="24"/>
          <w:szCs w:val="24"/>
          <w:lang w:eastAsia="en-GB"/>
        </w:rPr>
        <w:t>Charlson</w:t>
      </w:r>
      <w:proofErr w:type="spellEnd"/>
      <w:r w:rsidRPr="00531A9E">
        <w:rPr>
          <w:rFonts w:ascii="Times New Roman" w:eastAsia="Times New Roman" w:hAnsi="Times New Roman" w:cs="Times New Roman"/>
          <w:sz w:val="24"/>
          <w:szCs w:val="24"/>
          <w:lang w:eastAsia="en-GB"/>
        </w:rPr>
        <w:t xml:space="preserve"> Comorbidity Index)</w:t>
      </w:r>
    </w:p>
    <w:p w:rsidR="00531A9E" w:rsidRPr="00531A9E" w:rsidRDefault="00531A9E" w:rsidP="00531A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Calculate medication complexity scores</w:t>
      </w:r>
    </w:p>
    <w:p w:rsidR="00531A9E" w:rsidRPr="00531A9E" w:rsidRDefault="00531A9E" w:rsidP="00531A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Generate time-based features (days since last admission)</w:t>
      </w:r>
    </w:p>
    <w:p w:rsidR="00531A9E" w:rsidRPr="00531A9E" w:rsidRDefault="00531A9E" w:rsidP="00531A9E">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Create social risk indicators</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Temporal Alignment: Ensure all features reflect patient state at discharge time</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Normalization: Standardize continuous variables (lab values, vital signs)</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Categorical Encoding: One-hot encode diagnoses, medications, procedures</w:t>
      </w:r>
    </w:p>
    <w:p w:rsidR="00531A9E" w:rsidRPr="00531A9E" w:rsidRDefault="00531A9E" w:rsidP="00531A9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Model Development (10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Model Selection: Gradient Boosting (</w:t>
      </w:r>
      <w:proofErr w:type="spellStart"/>
      <w:r w:rsidRPr="00531A9E">
        <w:rPr>
          <w:rFonts w:ascii="Times New Roman" w:eastAsia="Times New Roman" w:hAnsi="Times New Roman" w:cs="Times New Roman"/>
          <w:sz w:val="24"/>
          <w:szCs w:val="24"/>
          <w:lang w:eastAsia="en-GB"/>
        </w:rPr>
        <w:t>XGBoost</w:t>
      </w:r>
      <w:proofErr w:type="spellEnd"/>
      <w:r w:rsidRPr="00531A9E">
        <w:rPr>
          <w:rFonts w:ascii="Times New Roman" w:eastAsia="Times New Roman" w:hAnsi="Times New Roman" w:cs="Times New Roman"/>
          <w:sz w:val="24"/>
          <w:szCs w:val="24"/>
          <w:lang w:eastAsia="en-GB"/>
        </w:rPr>
        <w:t>)</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Justification:</w:t>
      </w:r>
    </w:p>
    <w:p w:rsidR="00531A9E" w:rsidRPr="00531A9E" w:rsidRDefault="00531A9E" w:rsidP="00531A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Handles mixed data types (numerical lab values, categorical diagnoses)</w:t>
      </w:r>
    </w:p>
    <w:p w:rsidR="00531A9E" w:rsidRPr="00531A9E" w:rsidRDefault="00531A9E" w:rsidP="00531A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Provides feature importance for clinical interpretability</w:t>
      </w:r>
    </w:p>
    <w:p w:rsidR="00531A9E" w:rsidRPr="00531A9E" w:rsidRDefault="00531A9E" w:rsidP="00531A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Excellent performance on structured healthcare data</w:t>
      </w:r>
    </w:p>
    <w:p w:rsidR="00531A9E" w:rsidRPr="00531A9E" w:rsidRDefault="00531A9E" w:rsidP="00531A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Robust to missing values and outliers</w:t>
      </w:r>
    </w:p>
    <w:p w:rsidR="00531A9E" w:rsidRPr="00531A9E" w:rsidRDefault="00531A9E" w:rsidP="00531A9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Can capture complex interactions between medical conditions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Hypothetical Confusion Matrix: Predicted No Readmission | Readmission Actual No Readmission 850 | 50 Actual Readmission 75 | 25</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Calculations:</w:t>
      </w:r>
    </w:p>
    <w:p w:rsidR="00531A9E" w:rsidRPr="00531A9E" w:rsidRDefault="00531A9E" w:rsidP="00531A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Precision = 25</w:t>
      </w:r>
      <w:proofErr w:type="gramStart"/>
      <w:r w:rsidRPr="00531A9E">
        <w:rPr>
          <w:rFonts w:ascii="Times New Roman" w:eastAsia="Times New Roman" w:hAnsi="Times New Roman" w:cs="Times New Roman"/>
          <w:sz w:val="24"/>
          <w:szCs w:val="24"/>
          <w:lang w:eastAsia="en-GB"/>
        </w:rPr>
        <w:t>/(</w:t>
      </w:r>
      <w:proofErr w:type="gramEnd"/>
      <w:r w:rsidRPr="00531A9E">
        <w:rPr>
          <w:rFonts w:ascii="Times New Roman" w:eastAsia="Times New Roman" w:hAnsi="Times New Roman" w:cs="Times New Roman"/>
          <w:sz w:val="24"/>
          <w:szCs w:val="24"/>
          <w:lang w:eastAsia="en-GB"/>
        </w:rPr>
        <w:t>25+50) = 0.33 (33%)</w:t>
      </w:r>
    </w:p>
    <w:p w:rsidR="00531A9E" w:rsidRPr="00531A9E" w:rsidRDefault="00531A9E" w:rsidP="00531A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Recall = 25</w:t>
      </w:r>
      <w:proofErr w:type="gramStart"/>
      <w:r w:rsidRPr="00531A9E">
        <w:rPr>
          <w:rFonts w:ascii="Times New Roman" w:eastAsia="Times New Roman" w:hAnsi="Times New Roman" w:cs="Times New Roman"/>
          <w:sz w:val="24"/>
          <w:szCs w:val="24"/>
          <w:lang w:eastAsia="en-GB"/>
        </w:rPr>
        <w:t>/(</w:t>
      </w:r>
      <w:proofErr w:type="gramEnd"/>
      <w:r w:rsidRPr="00531A9E">
        <w:rPr>
          <w:rFonts w:ascii="Times New Roman" w:eastAsia="Times New Roman" w:hAnsi="Times New Roman" w:cs="Times New Roman"/>
          <w:sz w:val="24"/>
          <w:szCs w:val="24"/>
          <w:lang w:eastAsia="en-GB"/>
        </w:rPr>
        <w:t>25+75) = 0.25 (25%)</w:t>
      </w:r>
    </w:p>
    <w:p w:rsidR="00531A9E" w:rsidRPr="00531A9E" w:rsidRDefault="00531A9E" w:rsidP="00531A9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Accuracy = (850+25)</w:t>
      </w:r>
      <w:proofErr w:type="gramStart"/>
      <w:r w:rsidRPr="00531A9E">
        <w:rPr>
          <w:rFonts w:ascii="Times New Roman" w:eastAsia="Times New Roman" w:hAnsi="Times New Roman" w:cs="Times New Roman"/>
          <w:sz w:val="24"/>
          <w:szCs w:val="24"/>
          <w:lang w:eastAsia="en-GB"/>
        </w:rPr>
        <w:t>/(</w:t>
      </w:r>
      <w:proofErr w:type="gramEnd"/>
      <w:r w:rsidRPr="00531A9E">
        <w:rPr>
          <w:rFonts w:ascii="Times New Roman" w:eastAsia="Times New Roman" w:hAnsi="Times New Roman" w:cs="Times New Roman"/>
          <w:sz w:val="24"/>
          <w:szCs w:val="24"/>
          <w:lang w:eastAsia="en-GB"/>
        </w:rPr>
        <w:t>850+50+75+25) = 0.875 (87.5%)</w:t>
      </w:r>
    </w:p>
    <w:p w:rsidR="00531A9E" w:rsidRPr="00531A9E" w:rsidRDefault="00531A9E" w:rsidP="00531A9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Deployment (10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Integration Steps:</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 xml:space="preserve">API Development: Create </w:t>
      </w:r>
      <w:proofErr w:type="spellStart"/>
      <w:r w:rsidRPr="00531A9E">
        <w:rPr>
          <w:rFonts w:ascii="Times New Roman" w:eastAsia="Times New Roman" w:hAnsi="Times New Roman" w:cs="Times New Roman"/>
          <w:sz w:val="24"/>
          <w:szCs w:val="24"/>
          <w:lang w:eastAsia="en-GB"/>
        </w:rPr>
        <w:t>RESTful</w:t>
      </w:r>
      <w:proofErr w:type="spellEnd"/>
      <w:r w:rsidRPr="00531A9E">
        <w:rPr>
          <w:rFonts w:ascii="Times New Roman" w:eastAsia="Times New Roman" w:hAnsi="Times New Roman" w:cs="Times New Roman"/>
          <w:sz w:val="24"/>
          <w:szCs w:val="24"/>
          <w:lang w:eastAsia="en-GB"/>
        </w:rPr>
        <w:t xml:space="preserve"> API endpoints for real-time prediction requests</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EHR Integration: Embed prediction module into existing discharge workflow</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Alert System: Implement risk score notifications in clinical dashboards</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User Interface: Design intuitive displays showing risk scores and contributing factors</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Batch Processing: Set up automated daily scoring for all discharged patients</w:t>
      </w:r>
    </w:p>
    <w:p w:rsidR="00531A9E" w:rsidRPr="00531A9E" w:rsidRDefault="00531A9E" w:rsidP="00531A9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Monitoring Dashboard: Create real-time performance tracking system</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HIPAA Compliance:</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Data Encryption: Implement end-to-end encryption for all data transmission and storage</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Access Controls: Role-based authentication with audit logging</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Minimum Necessary Standard: Limit data access to only what's required for prediction</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Business Associate Agreements: Ensure all third-party vendors sign BAAs</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Regular Security Audits: Conduct penetration testing and vulnerability assessments</w:t>
      </w:r>
    </w:p>
    <w:p w:rsidR="00531A9E" w:rsidRPr="00531A9E" w:rsidRDefault="00531A9E" w:rsidP="00531A9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Staff Training: Provide ongoing HIPAA compliance education</w:t>
      </w:r>
    </w:p>
    <w:p w:rsidR="00531A9E" w:rsidRPr="00531A9E" w:rsidRDefault="00531A9E" w:rsidP="00531A9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lastRenderedPageBreak/>
        <w:t>Optimization (5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 xml:space="preserve">Method to Address </w:t>
      </w:r>
      <w:proofErr w:type="spellStart"/>
      <w:r w:rsidRPr="00531A9E">
        <w:rPr>
          <w:rFonts w:ascii="Times New Roman" w:eastAsia="Times New Roman" w:hAnsi="Times New Roman" w:cs="Times New Roman"/>
          <w:sz w:val="24"/>
          <w:szCs w:val="24"/>
          <w:lang w:eastAsia="en-GB"/>
        </w:rPr>
        <w:t>Overfitting</w:t>
      </w:r>
      <w:proofErr w:type="spellEnd"/>
      <w:r w:rsidRPr="00531A9E">
        <w:rPr>
          <w:rFonts w:ascii="Times New Roman" w:eastAsia="Times New Roman" w:hAnsi="Times New Roman" w:cs="Times New Roman"/>
          <w:sz w:val="24"/>
          <w:szCs w:val="24"/>
          <w:lang w:eastAsia="en-GB"/>
        </w:rPr>
        <w:t>: Cross-Validation with Regularization</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Implement 5-fold cross-validation combined with L2 regularization:</w:t>
      </w:r>
    </w:p>
    <w:p w:rsidR="00531A9E" w:rsidRPr="00531A9E" w:rsidRDefault="00531A9E" w:rsidP="00531A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Use stratified k-fold cross-validation to ensure balanced representation across folds</w:t>
      </w:r>
    </w:p>
    <w:p w:rsidR="00531A9E" w:rsidRPr="00531A9E" w:rsidRDefault="00531A9E" w:rsidP="00531A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Apply L2 regularization (Ridge regression component) to penalize large coefficients</w:t>
      </w:r>
    </w:p>
    <w:p w:rsidR="00531A9E" w:rsidRPr="00531A9E" w:rsidRDefault="00531A9E" w:rsidP="00531A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 xml:space="preserve">Monitor validation curves to detect </w:t>
      </w:r>
      <w:proofErr w:type="spellStart"/>
      <w:r w:rsidRPr="00531A9E">
        <w:rPr>
          <w:rFonts w:ascii="Times New Roman" w:eastAsia="Times New Roman" w:hAnsi="Times New Roman" w:cs="Times New Roman"/>
          <w:sz w:val="24"/>
          <w:szCs w:val="24"/>
          <w:lang w:eastAsia="en-GB"/>
        </w:rPr>
        <w:t>overfitting</w:t>
      </w:r>
      <w:proofErr w:type="spellEnd"/>
      <w:r w:rsidRPr="00531A9E">
        <w:rPr>
          <w:rFonts w:ascii="Times New Roman" w:eastAsia="Times New Roman" w:hAnsi="Times New Roman" w:cs="Times New Roman"/>
          <w:sz w:val="24"/>
          <w:szCs w:val="24"/>
          <w:lang w:eastAsia="en-GB"/>
        </w:rPr>
        <w:t xml:space="preserve"> early</w:t>
      </w:r>
    </w:p>
    <w:p w:rsidR="00531A9E" w:rsidRPr="00531A9E" w:rsidRDefault="00531A9E" w:rsidP="00531A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Use early stopping during training when validation performance plateaus</w:t>
      </w:r>
    </w:p>
    <w:p w:rsidR="00531A9E" w:rsidRPr="00531A9E" w:rsidRDefault="00531A9E" w:rsidP="00531A9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This approach helps the model generalize better to unseen patients by preventing it from memorizing specific training examples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Part 3: Critical Thinking (20 points)</w:t>
      </w:r>
    </w:p>
    <w:p w:rsidR="00531A9E" w:rsidRPr="00531A9E" w:rsidRDefault="00531A9E" w:rsidP="00531A9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Ethics &amp; Bias (10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How Biased Training Data Affects Patient Outcomes: Biased training data could lead to systematic under-prediction of readmission risk for certain demographic groups. For example, if the training data contains fewer examples from minority communities or rural areas, the model might not recognize their specific risk factors. This could result in:</w:t>
      </w:r>
    </w:p>
    <w:p w:rsidR="00531A9E" w:rsidRPr="00531A9E" w:rsidRDefault="00531A9E" w:rsidP="00531A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Minority patients receiving inadequate post-discharge support</w:t>
      </w:r>
    </w:p>
    <w:p w:rsidR="00531A9E" w:rsidRPr="00531A9E" w:rsidRDefault="00531A9E" w:rsidP="00531A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Widening of existing health disparities</w:t>
      </w:r>
    </w:p>
    <w:p w:rsidR="00531A9E" w:rsidRPr="00531A9E" w:rsidRDefault="00531A9E" w:rsidP="00531A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Reduced trust in healthcare systems among affected communities</w:t>
      </w:r>
    </w:p>
    <w:p w:rsidR="00531A9E" w:rsidRPr="00531A9E" w:rsidRDefault="00531A9E" w:rsidP="00531A9E">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Potential legal liability for discriminatory practices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Strategy to Mitigate Bias: Fairness-Aware Model Training with Demographic Parity Constraints: Implement algorithmic fairness techniques that ensure equal treatment across demographic groups by:</w:t>
      </w:r>
    </w:p>
    <w:p w:rsidR="00531A9E" w:rsidRPr="00531A9E" w:rsidRDefault="00531A9E" w:rsidP="00531A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Adding fairness constraints during model training to equalize prediction rates across racial/ethnic groups</w:t>
      </w:r>
    </w:p>
    <w:p w:rsidR="00531A9E" w:rsidRPr="00531A9E" w:rsidRDefault="00531A9E" w:rsidP="00531A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 xml:space="preserve">Using adversarial </w:t>
      </w:r>
      <w:proofErr w:type="spellStart"/>
      <w:r w:rsidRPr="00531A9E">
        <w:rPr>
          <w:rFonts w:ascii="Times New Roman" w:eastAsia="Times New Roman" w:hAnsi="Times New Roman" w:cs="Times New Roman"/>
          <w:sz w:val="24"/>
          <w:szCs w:val="24"/>
          <w:lang w:eastAsia="en-GB"/>
        </w:rPr>
        <w:t>debiasing</w:t>
      </w:r>
      <w:proofErr w:type="spellEnd"/>
      <w:r w:rsidRPr="00531A9E">
        <w:rPr>
          <w:rFonts w:ascii="Times New Roman" w:eastAsia="Times New Roman" w:hAnsi="Times New Roman" w:cs="Times New Roman"/>
          <w:sz w:val="24"/>
          <w:szCs w:val="24"/>
          <w:lang w:eastAsia="en-GB"/>
        </w:rPr>
        <w:t xml:space="preserve"> to remove demographic information from internal representations</w:t>
      </w:r>
    </w:p>
    <w:p w:rsidR="00531A9E" w:rsidRPr="00531A9E" w:rsidRDefault="00531A9E" w:rsidP="00531A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Regularly auditing model performance across different patient subgroups</w:t>
      </w:r>
    </w:p>
    <w:p w:rsidR="00531A9E" w:rsidRPr="00531A9E" w:rsidRDefault="00531A9E" w:rsidP="00531A9E">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Collecting feedback from diverse clinical stakeholders to identify potential bias sources</w:t>
      </w:r>
    </w:p>
    <w:p w:rsidR="00531A9E" w:rsidRPr="00531A9E" w:rsidRDefault="00531A9E" w:rsidP="00531A9E">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Trade-offs (10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Interpretability vs. Accuracy Trade-off: In healthcare, there's tension between using highly accurate but complex models (deep learning) versus simpler, interpretable models (linear regression). Healthcare providers need to understand why a model makes specific predictions to trust its recommendations and explain decisions to patients. However, simpler models may miss complex patterns that could save lives. The optimal approach is often using moderately complex models (like gradient boosting) that provide good accuracy while still offering feature importance explanations.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lastRenderedPageBreak/>
        <w:t>Impact of Limited Computational Resources: With limited computational resources, the hospital would need to:</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Choose simpler models (Random Forest instead of deep learning)</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Reduce feature complexity and dimensionality</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Implement efficient batch processing rather than real-time predictions</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Use cloud-based solutions for model training while keeping inference local</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Prioritize model efficiency over marginal accuracy improvements</w:t>
      </w:r>
    </w:p>
    <w:p w:rsidR="00531A9E" w:rsidRPr="00531A9E" w:rsidRDefault="00531A9E" w:rsidP="00531A9E">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Consider federated learning approaches to share computational costs with other hospitals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Part 4: Reflection &amp; Workflow Diagram (10 points)</w:t>
      </w:r>
    </w:p>
    <w:p w:rsidR="00531A9E" w:rsidRPr="00531A9E" w:rsidRDefault="00531A9E" w:rsidP="00531A9E">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Reflection (5 points)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Most Challenging Part: The most challenging aspect was balancing the technical requirements with ethical and regulatory constraints in healthcare. Unlike other domains, healthcare AI must navigate complex privacy laws, potential life-or-death consequences, and the need for clinical interpretability. Ensuring the model doesn't perpetuate existing healthcare disparities while maintaining high predictive performance requires careful consideration of fairness metrics alongside traditional accuracy measures.</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Improvements with More Time/Resources:</w:t>
      </w:r>
    </w:p>
    <w:p w:rsidR="00531A9E" w:rsidRPr="00531A9E" w:rsidRDefault="00531A9E" w:rsidP="00531A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Multi-site validation: Test the model across different hospital systems to ensure generalizability</w:t>
      </w:r>
    </w:p>
    <w:p w:rsidR="00531A9E" w:rsidRPr="00531A9E" w:rsidRDefault="00531A9E" w:rsidP="00531A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Longitudinal studies: Track long-term patient outcomes to validate intervention effectiveness</w:t>
      </w:r>
    </w:p>
    <w:p w:rsidR="00531A9E" w:rsidRPr="00531A9E" w:rsidRDefault="00531A9E" w:rsidP="00531A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Clinician feedback loops: Implement systematic feedback collection to continuously improve model performance</w:t>
      </w:r>
    </w:p>
    <w:p w:rsidR="00531A9E" w:rsidRPr="00531A9E" w:rsidRDefault="00531A9E" w:rsidP="00531A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Advanced NLP: Better processing of clinical notes and radiology reports for richer feature extraction</w:t>
      </w:r>
    </w:p>
    <w:p w:rsidR="00531A9E" w:rsidRPr="00531A9E" w:rsidRDefault="00531A9E" w:rsidP="00531A9E">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Causal inference: Move beyond correlation to understand causal relationships in readmission risk</w:t>
      </w:r>
    </w:p>
    <w:p w:rsidR="00531A9E" w:rsidRPr="00531A9E" w:rsidRDefault="00531A9E" w:rsidP="00531A9E">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531A9E">
        <w:rPr>
          <w:rFonts w:ascii="Times New Roman" w:eastAsia="Times New Roman" w:hAnsi="Times New Roman" w:cs="Times New Roman"/>
          <w:sz w:val="24"/>
          <w:szCs w:val="24"/>
          <w:lang w:eastAsia="en-GB"/>
        </w:rPr>
        <w:t>Key Considerations at Each Stage:</w:t>
      </w:r>
    </w:p>
    <w:p w:rsidR="00531A9E" w:rsidRPr="00531A9E" w:rsidRDefault="00531A9E" w:rsidP="00531A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Ethics and Bias: Continuously assessed throughout all stages</w:t>
      </w:r>
    </w:p>
    <w:p w:rsidR="00531A9E" w:rsidRPr="00531A9E" w:rsidRDefault="00531A9E" w:rsidP="00531A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Regulatory Compliance: HIPAA and FDA requirements integrated at each step</w:t>
      </w:r>
    </w:p>
    <w:p w:rsidR="00531A9E" w:rsidRPr="00531A9E" w:rsidRDefault="00531A9E" w:rsidP="00531A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Clinical Validation: Healthcare professionals involved in evaluation and deployment</w:t>
      </w:r>
    </w:p>
    <w:p w:rsidR="00531A9E" w:rsidRPr="00531A9E" w:rsidRDefault="00531A9E" w:rsidP="00531A9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531A9E">
        <w:rPr>
          <w:rFonts w:ascii="Times New Roman" w:eastAsia="Times New Roman" w:hAnsi="Times New Roman" w:cs="Times New Roman"/>
          <w:sz w:val="24"/>
          <w:szCs w:val="24"/>
          <w:lang w:eastAsia="en-GB"/>
        </w:rPr>
        <w:t>Continuous Improvement: Regular model updates based on new data and outcomes</w:t>
      </w:r>
    </w:p>
    <w:p w:rsidR="000963AB" w:rsidRPr="000963AB" w:rsidRDefault="000963AB" w:rsidP="00531A9E">
      <w:pPr>
        <w:spacing w:before="100" w:beforeAutospacing="1" w:after="100" w:afterAutospacing="1" w:line="240" w:lineRule="auto"/>
        <w:rPr>
          <w:rFonts w:ascii="Times New Roman" w:eastAsia="Times New Roman" w:hAnsi="Times New Roman" w:cs="Times New Roman"/>
          <w:sz w:val="24"/>
          <w:szCs w:val="24"/>
          <w:lang w:eastAsia="en-GB"/>
        </w:rPr>
      </w:pPr>
    </w:p>
    <w:p w:rsidR="009334C1" w:rsidRDefault="009334C1"/>
    <w:sectPr w:rsidR="0093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05CF"/>
    <w:multiLevelType w:val="multilevel"/>
    <w:tmpl w:val="2756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020FD"/>
    <w:multiLevelType w:val="multilevel"/>
    <w:tmpl w:val="647A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CDE"/>
    <w:multiLevelType w:val="multilevel"/>
    <w:tmpl w:val="272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D20EB"/>
    <w:multiLevelType w:val="multilevel"/>
    <w:tmpl w:val="2DE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36A00"/>
    <w:multiLevelType w:val="multilevel"/>
    <w:tmpl w:val="7D2A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E376D7"/>
    <w:multiLevelType w:val="multilevel"/>
    <w:tmpl w:val="DFCC2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C1076E"/>
    <w:multiLevelType w:val="multilevel"/>
    <w:tmpl w:val="70A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06B9B"/>
    <w:multiLevelType w:val="multilevel"/>
    <w:tmpl w:val="F066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35BBE"/>
    <w:multiLevelType w:val="multilevel"/>
    <w:tmpl w:val="8FB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A3767"/>
    <w:multiLevelType w:val="multilevel"/>
    <w:tmpl w:val="492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FB472C"/>
    <w:multiLevelType w:val="multilevel"/>
    <w:tmpl w:val="5B2E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C53043"/>
    <w:multiLevelType w:val="multilevel"/>
    <w:tmpl w:val="59BA9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5D51EB"/>
    <w:multiLevelType w:val="multilevel"/>
    <w:tmpl w:val="E9E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B6713"/>
    <w:multiLevelType w:val="multilevel"/>
    <w:tmpl w:val="023A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C9353D"/>
    <w:multiLevelType w:val="multilevel"/>
    <w:tmpl w:val="576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660F2E"/>
    <w:multiLevelType w:val="multilevel"/>
    <w:tmpl w:val="F72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9335BA"/>
    <w:multiLevelType w:val="multilevel"/>
    <w:tmpl w:val="CB62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9E19C2"/>
    <w:multiLevelType w:val="multilevel"/>
    <w:tmpl w:val="B69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321A25"/>
    <w:multiLevelType w:val="multilevel"/>
    <w:tmpl w:val="6ED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FF695A"/>
    <w:multiLevelType w:val="multilevel"/>
    <w:tmpl w:val="D55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473C7"/>
    <w:multiLevelType w:val="multilevel"/>
    <w:tmpl w:val="BC44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B072E6"/>
    <w:multiLevelType w:val="multilevel"/>
    <w:tmpl w:val="5580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B660F1"/>
    <w:multiLevelType w:val="multilevel"/>
    <w:tmpl w:val="9A9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6D46D8"/>
    <w:multiLevelType w:val="multilevel"/>
    <w:tmpl w:val="15E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DD7A98"/>
    <w:multiLevelType w:val="multilevel"/>
    <w:tmpl w:val="BB4C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035D13"/>
    <w:multiLevelType w:val="multilevel"/>
    <w:tmpl w:val="DB72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3457C0"/>
    <w:multiLevelType w:val="multilevel"/>
    <w:tmpl w:val="5F2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FF5C4A"/>
    <w:multiLevelType w:val="multilevel"/>
    <w:tmpl w:val="B5B2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667150"/>
    <w:multiLevelType w:val="multilevel"/>
    <w:tmpl w:val="C7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543002"/>
    <w:multiLevelType w:val="multilevel"/>
    <w:tmpl w:val="1672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AF3150"/>
    <w:multiLevelType w:val="multilevel"/>
    <w:tmpl w:val="F7D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6577E5"/>
    <w:multiLevelType w:val="multilevel"/>
    <w:tmpl w:val="96E0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7C44C2"/>
    <w:multiLevelType w:val="multilevel"/>
    <w:tmpl w:val="312A8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0804FD"/>
    <w:multiLevelType w:val="multilevel"/>
    <w:tmpl w:val="F8A0CB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B37CE6"/>
    <w:multiLevelType w:val="multilevel"/>
    <w:tmpl w:val="B4A6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C4C76"/>
    <w:multiLevelType w:val="multilevel"/>
    <w:tmpl w:val="01CC5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D50379"/>
    <w:multiLevelType w:val="multilevel"/>
    <w:tmpl w:val="E4900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CC309D"/>
    <w:multiLevelType w:val="multilevel"/>
    <w:tmpl w:val="7C288F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EE85D2B"/>
    <w:multiLevelType w:val="multilevel"/>
    <w:tmpl w:val="2ECE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19"/>
  </w:num>
  <w:num w:numId="3">
    <w:abstractNumId w:val="28"/>
  </w:num>
  <w:num w:numId="4">
    <w:abstractNumId w:val="1"/>
  </w:num>
  <w:num w:numId="5">
    <w:abstractNumId w:val="32"/>
  </w:num>
  <w:num w:numId="6">
    <w:abstractNumId w:val="7"/>
  </w:num>
  <w:num w:numId="7">
    <w:abstractNumId w:val="15"/>
  </w:num>
  <w:num w:numId="8">
    <w:abstractNumId w:val="27"/>
  </w:num>
  <w:num w:numId="9">
    <w:abstractNumId w:val="0"/>
  </w:num>
  <w:num w:numId="10">
    <w:abstractNumId w:val="23"/>
  </w:num>
  <w:num w:numId="11">
    <w:abstractNumId w:val="16"/>
  </w:num>
  <w:num w:numId="12">
    <w:abstractNumId w:val="2"/>
  </w:num>
  <w:num w:numId="13">
    <w:abstractNumId w:val="12"/>
  </w:num>
  <w:num w:numId="14">
    <w:abstractNumId w:val="26"/>
  </w:num>
  <w:num w:numId="15">
    <w:abstractNumId w:val="34"/>
  </w:num>
  <w:num w:numId="16">
    <w:abstractNumId w:val="13"/>
  </w:num>
  <w:num w:numId="17">
    <w:abstractNumId w:val="24"/>
  </w:num>
  <w:num w:numId="18">
    <w:abstractNumId w:val="3"/>
  </w:num>
  <w:num w:numId="19">
    <w:abstractNumId w:val="37"/>
  </w:num>
  <w:num w:numId="20">
    <w:abstractNumId w:val="21"/>
  </w:num>
  <w:num w:numId="21">
    <w:abstractNumId w:val="10"/>
  </w:num>
  <w:num w:numId="22">
    <w:abstractNumId w:val="35"/>
  </w:num>
  <w:num w:numId="23">
    <w:abstractNumId w:val="30"/>
  </w:num>
  <w:num w:numId="24">
    <w:abstractNumId w:val="8"/>
  </w:num>
  <w:num w:numId="25">
    <w:abstractNumId w:val="36"/>
  </w:num>
  <w:num w:numId="26">
    <w:abstractNumId w:val="29"/>
  </w:num>
  <w:num w:numId="27">
    <w:abstractNumId w:val="9"/>
  </w:num>
  <w:num w:numId="28">
    <w:abstractNumId w:val="5"/>
  </w:num>
  <w:num w:numId="29">
    <w:abstractNumId w:val="17"/>
  </w:num>
  <w:num w:numId="30">
    <w:abstractNumId w:val="20"/>
  </w:num>
  <w:num w:numId="31">
    <w:abstractNumId w:val="31"/>
  </w:num>
  <w:num w:numId="32">
    <w:abstractNumId w:val="18"/>
  </w:num>
  <w:num w:numId="33">
    <w:abstractNumId w:val="11"/>
  </w:num>
  <w:num w:numId="34">
    <w:abstractNumId w:val="22"/>
  </w:num>
  <w:num w:numId="35">
    <w:abstractNumId w:val="25"/>
  </w:num>
  <w:num w:numId="36">
    <w:abstractNumId w:val="6"/>
  </w:num>
  <w:num w:numId="37">
    <w:abstractNumId w:val="33"/>
  </w:num>
  <w:num w:numId="38">
    <w:abstractNumId w:val="4"/>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3AB"/>
    <w:rsid w:val="000963AB"/>
    <w:rsid w:val="00531A9E"/>
    <w:rsid w:val="00933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DB892-C48E-4287-9B44-A7ABCE3D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3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963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63A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A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963A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63A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963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63AB"/>
    <w:rPr>
      <w:b/>
      <w:bCs/>
    </w:rPr>
  </w:style>
  <w:style w:type="paragraph" w:styleId="HTMLPreformatted">
    <w:name w:val="HTML Preformatted"/>
    <w:basedOn w:val="Normal"/>
    <w:link w:val="HTMLPreformattedChar"/>
    <w:uiPriority w:val="99"/>
    <w:semiHidden/>
    <w:unhideWhenUsed/>
    <w:rsid w:val="0009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63A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96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335291">
      <w:bodyDiv w:val="1"/>
      <w:marLeft w:val="0"/>
      <w:marRight w:val="0"/>
      <w:marTop w:val="0"/>
      <w:marBottom w:val="0"/>
      <w:divBdr>
        <w:top w:val="none" w:sz="0" w:space="0" w:color="auto"/>
        <w:left w:val="none" w:sz="0" w:space="0" w:color="auto"/>
        <w:bottom w:val="none" w:sz="0" w:space="0" w:color="auto"/>
        <w:right w:val="none" w:sz="0" w:space="0" w:color="auto"/>
      </w:divBdr>
    </w:div>
    <w:div w:id="1600335083">
      <w:bodyDiv w:val="1"/>
      <w:marLeft w:val="0"/>
      <w:marRight w:val="0"/>
      <w:marTop w:val="0"/>
      <w:marBottom w:val="0"/>
      <w:divBdr>
        <w:top w:val="none" w:sz="0" w:space="0" w:color="auto"/>
        <w:left w:val="none" w:sz="0" w:space="0" w:color="auto"/>
        <w:bottom w:val="none" w:sz="0" w:space="0" w:color="auto"/>
        <w:right w:val="none" w:sz="0" w:space="0" w:color="auto"/>
      </w:divBdr>
    </w:div>
    <w:div w:id="185106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2025-07-09T11:37:00Z</dcterms:created>
  <dcterms:modified xsi:type="dcterms:W3CDTF">2025-07-09T11:54:00Z</dcterms:modified>
</cp:coreProperties>
</file>