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cs="Arial"/>
          <w:b/>
          <w:color w:val="000000"/>
          <w:sz w:val="46"/>
        </w:rPr>
        <w:t>Giftisan Platform Working Rules and Controls</w:t>
      </w:r>
    </w:p>
    <w:p>
      <w:pPr>
        <w:jc w:val="left"/>
      </w:pPr>
      <w:r>
        <w:rPr>
          <w:rFonts w:ascii="Arial" w:hAnsi="Arial" w:cs="Arial"/>
          <w:b w:val="0"/>
          <w:color w:val="464646"/>
          <w:sz w:val="22"/>
        </w:rPr>
        <w:t>Internal operating standard for onboarding, marketplace operations, claims, payouts, and records</w:t>
      </w:r>
    </w:p>
    <w:p>
      <w:pPr>
        <w:jc w:val="left"/>
      </w:pPr>
      <w:r>
        <w:rPr>
          <w:rFonts w:ascii="Arial" w:hAnsi="Arial" w:cs="Arial"/>
          <w:b/>
          <w:color w:val="464646"/>
          <w:sz w:val="19"/>
        </w:rPr>
        <w:t>Audience: Giftisan founders, operations, customer support, finance, and moderation teams | Version: 2026 v2 working guide</w:t>
      </w:r>
    </w:p>
    <w:p/>
    <w:p>
      <w:pPr>
        <w:jc w:val="left"/>
      </w:pPr>
      <w:r>
        <w:rPr>
          <w:rFonts w:ascii="Arial" w:hAnsi="Arial" w:cs="Arial"/>
          <w:b w:val="0"/>
          <w:color w:val="000000"/>
          <w:sz w:val="22"/>
        </w:rPr>
        <w:t>This guide explains how Giftisan should operate its artisan marketplace so the platform, artisans, and buyers are treated consistently. It is an operating document, not a substitute for an Egyptian lawyer's final contract and tax review.</w:t>
      </w:r>
    </w:p>
    <w:p>
      <w:pPr>
        <w:pStyle w:val="Heading1"/>
        <w:jc w:val="left"/>
      </w:pPr>
      <w:r>
        <w:rPr>
          <w:rFonts w:ascii="Arial" w:hAnsi="Arial" w:cs="Arial"/>
          <w:b/>
          <w:color w:val="000000"/>
          <w:sz w:val="30"/>
        </w:rPr>
        <w:t>1 Operating model to decide before launch</w:t>
      </w:r>
    </w:p>
    <w:p>
      <w:pPr>
        <w:jc w:val="left"/>
      </w:pPr>
      <w:r>
        <w:rPr>
          <w:rFonts w:ascii="Arial" w:hAnsi="Arial" w:cs="Arial"/>
          <w:b w:val="0"/>
          <w:color w:val="000000"/>
          <w:sz w:val="22"/>
        </w:rPr>
        <w:t>Giftisan must choose and document one customer-facing model for each transaction. Do not describe Giftisan as a marketplace in the artisan contract while issuing buyer invoices as the seller without legal and tax advice.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vAlign w:val="center"/>
            <w:shd w:fill="07563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336"/>
            <w:vAlign w:val="center"/>
            <w:shd w:fill="07563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Giftisan must document</w:t>
            </w:r>
          </w:p>
        </w:tc>
        <w:tc>
          <w:tcPr>
            <w:tcW w:type="dxa" w:w="1584"/>
            <w:vAlign w:val="center"/>
            <w:shd w:fill="07563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Platform role</w:t>
            </w:r>
          </w:p>
        </w:tc>
        <w:tc>
          <w:tcPr>
            <w:tcW w:type="dxa" w:w="63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Whether Giftisan is an intermediary marketplace, seller of record, or a defined hybrid model.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Founder and legal counsel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Invoice and tax</w:t>
            </w:r>
          </w:p>
        </w:tc>
        <w:tc>
          <w:tcPr>
            <w:tcW w:type="dxa" w:w="63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Who issues the buyer invoice, whose tax details appear, and who remits applicable taxes.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Finance and accountant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Payment flow</w:t>
            </w:r>
          </w:p>
        </w:tc>
        <w:tc>
          <w:tcPr>
            <w:tcW w:type="dxa" w:w="63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How buyer money is collected, held, released, reconciled, and refunded. Never describe internal balances as escrow unless the legal structure supports that term.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Finance and payments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Customer support</w:t>
            </w:r>
          </w:p>
        </w:tc>
        <w:tc>
          <w:tcPr>
            <w:tcW w:type="dxa" w:w="63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Who communicates with buyers and who has authority to approve returns, replacements, credits, and chargebacks.</w:t>
            </w:r>
          </w:p>
        </w:tc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Operations lead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cs="Arial"/>
          <w:b/>
          <w:color w:val="000000"/>
          <w:sz w:val="30"/>
        </w:rPr>
        <w:t>2 Documents Giftisan must keep current</w:t>
      </w:r>
    </w:p>
    <w:p>
      <w:pPr>
        <w:ind w:left="173" w:right="0"/>
        <w:jc w:val="left"/>
      </w:pPr>
      <w:r>
        <w:rPr>
          <w:rFonts w:ascii="Arial" w:hAnsi="Arial" w:cs="Arial"/>
          <w:b w:val="0"/>
          <w:color w:val="000000"/>
          <w:sz w:val="22"/>
        </w:rPr>
        <w:t>[ ] Artisan Partnership Agreement with a unique version number and effective date.</w:t>
      </w:r>
    </w:p>
    <w:p>
      <w:pPr>
        <w:ind w:left="173" w:right="0"/>
        <w:jc w:val="left"/>
      </w:pPr>
      <w:r>
        <w:rPr>
          <w:rFonts w:ascii="Arial" w:hAnsi="Arial" w:cs="Arial"/>
          <w:b w:val="0"/>
          <w:color w:val="000000"/>
          <w:sz w:val="22"/>
        </w:rPr>
        <w:t>[ ] Fee and Payout Schedule showing commission, payment, shipping, reserve, and refund deductions.</w:t>
      </w:r>
    </w:p>
    <w:p>
      <w:pPr>
        <w:ind w:left="173" w:right="0"/>
        <w:jc w:val="left"/>
      </w:pPr>
      <w:r>
        <w:rPr>
          <w:rFonts w:ascii="Arial" w:hAnsi="Arial" w:cs="Arial"/>
          <w:b w:val="0"/>
          <w:color w:val="000000"/>
          <w:sz w:val="22"/>
        </w:rPr>
        <w:t>[ ] Product, Safety, Authenticity, and Intellectual Property Policy.</w:t>
      </w:r>
    </w:p>
    <w:p>
      <w:pPr>
        <w:ind w:left="173" w:right="0"/>
        <w:jc w:val="left"/>
      </w:pPr>
      <w:r>
        <w:rPr>
          <w:rFonts w:ascii="Arial" w:hAnsi="Arial" w:cs="Arial"/>
          <w:b w:val="0"/>
          <w:color w:val="000000"/>
          <w:sz w:val="22"/>
        </w:rPr>
        <w:t>[ ] Returns, Claims, and Appeal Policy for buyers and artisans.</w:t>
      </w:r>
    </w:p>
    <w:p>
      <w:pPr>
        <w:ind w:left="173" w:right="0"/>
        <w:jc w:val="left"/>
      </w:pPr>
      <w:r>
        <w:rPr>
          <w:rFonts w:ascii="Arial" w:hAnsi="Arial" w:cs="Arial"/>
          <w:b w:val="0"/>
          <w:color w:val="000000"/>
          <w:sz w:val="22"/>
        </w:rPr>
        <w:t>[ ] Privacy notice and internal data-access rules for buyer and artisan information.</w:t>
      </w:r>
    </w:p>
    <w:p>
      <w:pPr>
        <w:ind w:left="173" w:right="0"/>
        <w:jc w:val="left"/>
      </w:pPr>
      <w:r>
        <w:rPr>
          <w:rFonts w:ascii="Arial" w:hAnsi="Arial" w:cs="Arial"/>
          <w:b w:val="0"/>
          <w:color w:val="000000"/>
          <w:sz w:val="22"/>
        </w:rPr>
        <w:t>[ ] Customer terms, Arabic product information, and invoice process that match the selected operating model.</w:t>
      </w:r>
    </w:p>
    <w:p>
      <w:pPr>
        <w:ind w:left="173" w:right="0"/>
        <w:jc w:val="left"/>
      </w:pPr>
      <w:r>
        <w:rPr>
          <w:rFonts w:ascii="Arial" w:hAnsi="Arial" w:cs="Arial"/>
          <w:b w:val="0"/>
          <w:color w:val="000000"/>
          <w:sz w:val="22"/>
        </w:rPr>
        <w:t>[ ] A contact address, legal entity name, commercial-registration and tax details once confirmed by counsel.</w:t>
      </w:r>
    </w:p>
    <w:p>
      <w:pPr>
        <w:pStyle w:val="Heading1"/>
        <w:jc w:val="left"/>
      </w:pPr>
      <w:r>
        <w:rPr>
          <w:rFonts w:ascii="Arial" w:hAnsi="Arial" w:cs="Arial"/>
          <w:b/>
          <w:color w:val="000000"/>
          <w:sz w:val="30"/>
        </w:rPr>
        <w:t>3 Artisan onboarding control</w:t>
      </w:r>
    </w:p>
    <w:p>
      <w:pPr>
        <w:jc w:val="left"/>
      </w:pPr>
      <w:r>
        <w:rPr>
          <w:rFonts w:ascii="Arial" w:hAnsi="Arial" w:cs="Arial"/>
          <w:b w:val="0"/>
          <w:color w:val="000000"/>
          <w:sz w:val="22"/>
        </w:rPr>
        <w:t>No artisan should receive selling privileges until the steps below are complete. The same rule must be applied to every artisan; exceptions need an approved written record.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vAlign w:val="center"/>
            <w:shd w:fill="07563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616"/>
            <w:vAlign w:val="center"/>
            <w:shd w:fill="07563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Required control</w:t>
            </w:r>
          </w:p>
        </w:tc>
        <w:tc>
          <w:tcPr>
            <w:tcW w:type="dxa" w:w="2736"/>
            <w:vAlign w:val="center"/>
            <w:shd w:fill="07563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Evidence to retain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Identity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Verify contact details and collect the identity, workshop, and payout information appropriate to the artisan's legal status.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Onboarding form and verification status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Agreement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Show the current agreement before acceptance. Capture affirmative clickwrap acceptance. Use a qualified signature process for high-value arrangements if advised.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Version, language, time, signer account, request metadata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Payout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Confirm beneficiary name and the payout address before any withdrawal is approved.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Verified payout details and change history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Product access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Moderate the first listings for authenticity, prohibited items, product information, and images.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Moderation decision and reason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Training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Give the artisan the external handbook and a support contact before their first sale.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Delivery record or dashboard acknowledgment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cs="Arial"/>
          <w:b/>
          <w:color w:val="000000"/>
          <w:sz w:val="30"/>
        </w:rPr>
        <w:t>4 Order and payout operating rules</w:t>
      </w:r>
    </w:p>
    <w:p>
      <w:pPr>
        <w:pStyle w:val="ListBullet"/>
        <w:jc w:val="left"/>
      </w:pPr>
      <w:r>
        <w:rPr>
          <w:rFonts w:ascii="Arial" w:hAnsi="Arial" w:cs="Arial"/>
          <w:b w:val="0"/>
          <w:color w:val="000000"/>
          <w:sz w:val="22"/>
        </w:rPr>
        <w:t>Show the artisan an itemized ledger for each sale: gross item amount, artisan-funded discount, commission, shipping or payment deductions if applicable, reserve, refund debit, and payout.</w:t>
      </w:r>
    </w:p>
    <w:p>
      <w:pPr>
        <w:pStyle w:val="ListBullet"/>
        <w:jc w:val="left"/>
      </w:pPr>
      <w:r>
        <w:rPr>
          <w:rFonts w:ascii="Arial" w:hAnsi="Arial" w:cs="Arial"/>
          <w:b w:val="0"/>
          <w:color w:val="000000"/>
          <w:sz w:val="22"/>
        </w:rPr>
        <w:t>Release money only under a published timetable tied to verified delivery and the stated refund or fraud-review window.</w:t>
      </w:r>
    </w:p>
    <w:p>
      <w:pPr>
        <w:pStyle w:val="ListBullet"/>
        <w:jc w:val="left"/>
      </w:pPr>
      <w:r>
        <w:rPr>
          <w:rFonts w:ascii="Arial" w:hAnsi="Arial" w:cs="Arial"/>
          <w:b w:val="0"/>
          <w:color w:val="000000"/>
          <w:sz w:val="22"/>
        </w:rPr>
        <w:t>Do not make an unexplained deduction. Every deduction needs a reason, related order or claim, amount, and decision maker.</w:t>
      </w:r>
    </w:p>
    <w:p>
      <w:pPr>
        <w:pStyle w:val="ListBullet"/>
        <w:jc w:val="left"/>
      </w:pPr>
      <w:r>
        <w:rPr>
          <w:rFonts w:ascii="Arial" w:hAnsi="Arial" w:cs="Arial"/>
          <w:b w:val="0"/>
          <w:color w:val="000000"/>
          <w:sz w:val="22"/>
        </w:rPr>
        <w:t>Keep undisputed balances separate from disputed amounts. Suspension or closure must not erase the duty to account for undisputed balances.</w:t>
      </w:r>
    </w:p>
    <w:p>
      <w:pPr>
        <w:pStyle w:val="ListBullet"/>
        <w:jc w:val="left"/>
      </w:pPr>
      <w:r>
        <w:rPr>
          <w:rFonts w:ascii="Arial" w:hAnsi="Arial" w:cs="Arial"/>
          <w:b w:val="0"/>
          <w:color w:val="000000"/>
          <w:sz w:val="22"/>
        </w:rPr>
        <w:t>Give advance notice before a material future change to fees or payout rules. Version the change and preserve the prior terms for affected orders.</w:t>
      </w:r>
    </w:p>
    <w:p>
      <w:pPr>
        <w:pStyle w:val="Heading1"/>
        <w:jc w:val="left"/>
      </w:pPr>
      <w:r>
        <w:rPr>
          <w:rFonts w:ascii="Arial" w:hAnsi="Arial" w:cs="Arial"/>
          <w:b/>
          <w:color w:val="000000"/>
          <w:sz w:val="30"/>
        </w:rPr>
        <w:t>5 Claims refunds and defects</w:t>
      </w:r>
    </w:p>
    <w:p>
      <w:pPr>
        <w:jc w:val="left"/>
      </w:pPr>
      <w:r>
        <w:rPr>
          <w:rFonts w:ascii="Arial" w:hAnsi="Arial" w:cs="Arial"/>
          <w:b w:val="0"/>
          <w:color w:val="000000"/>
          <w:sz w:val="22"/>
        </w:rPr>
        <w:t>Giftisan should handle the buyer-facing process consistently while giving the artisan a fair chance to respond. Consumer protections cannot be waived by an artisan agreement or a buyer policy.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shd w:fill="07563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Claim type</w:t>
            </w:r>
          </w:p>
        </w:tc>
        <w:tc>
          <w:tcPr>
            <w:tcW w:type="dxa" w:w="4680"/>
            <w:vAlign w:val="center"/>
            <w:shd w:fill="07563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First action</w:t>
            </w:r>
          </w:p>
        </w:tc>
        <w:tc>
          <w:tcPr>
            <w:tcW w:type="dxa" w:w="3168"/>
            <w:vAlign w:val="center"/>
            <w:shd w:fill="07563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Responsibility decision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Damaged in transit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Collect photos, packaging evidence, delivery data, and courier scan history.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Charge the artisan only where packaging or product fault is supported; otherwise pursue carrier recovery where available.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Defective or wrong item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Compare the evidence with the listing and order specification. Give the artisan a response window where practical.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Offer repair, replacement, or refund as required. Record the reason and the final allocation.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Not as described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Review images, description, variants, personalization instructions, and buyer evidence.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Charge only the part attributable to inaccurate listing or fulfilment.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Change of mind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Check whether the item is bespoke and whether an exclusion is legally permitted.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shd w:fill="F7F7F7"/>
          </w:tcPr>
          <w:p>
            <w:pPr>
              <w:jc w:val="left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>Do not use a policy to override mandatory consumer rights.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 w:cs="Arial"/>
          <w:b/>
          <w:color w:val="000000"/>
          <w:sz w:val="30"/>
        </w:rPr>
        <w:t>6 Enforcement suspension and appeals</w:t>
      </w:r>
    </w:p>
    <w:p>
      <w:pPr>
        <w:pStyle w:val="ListBullet"/>
        <w:jc w:val="left"/>
      </w:pPr>
      <w:r>
        <w:rPr>
          <w:rFonts w:ascii="Arial" w:hAnsi="Arial" w:cs="Arial"/>
          <w:b w:val="0"/>
          <w:color w:val="000000"/>
          <w:sz w:val="22"/>
        </w:rPr>
        <w:t>Use immediate suspension only for credible safety, fraud, counterfeit, unlawful-content, or serious abuse risks.</w:t>
      </w:r>
    </w:p>
    <w:p>
      <w:pPr>
        <w:pStyle w:val="ListBullet"/>
        <w:jc w:val="left"/>
      </w:pPr>
      <w:r>
        <w:rPr>
          <w:rFonts w:ascii="Arial" w:hAnsi="Arial" w:cs="Arial"/>
          <w:b w:val="0"/>
          <w:color w:val="000000"/>
          <w:sz w:val="22"/>
        </w:rPr>
        <w:t>For ordinary quality or timing problems, issue a written reason, evidence, corrective action, deadline, and appeal channel.</w:t>
      </w:r>
    </w:p>
    <w:p>
      <w:pPr>
        <w:pStyle w:val="ListBullet"/>
        <w:jc w:val="left"/>
      </w:pPr>
      <w:r>
        <w:rPr>
          <w:rFonts w:ascii="Arial" w:hAnsi="Arial" w:cs="Arial"/>
          <w:b w:val="0"/>
          <w:color w:val="000000"/>
          <w:sz w:val="22"/>
        </w:rPr>
        <w:t>Record enforcement decisions consistently. A dashboard notice or email should state the effect on live listings, open orders, and funds.</w:t>
      </w:r>
    </w:p>
    <w:p>
      <w:pPr>
        <w:pStyle w:val="ListBullet"/>
        <w:jc w:val="left"/>
      </w:pPr>
      <w:r>
        <w:rPr>
          <w:rFonts w:ascii="Arial" w:hAnsi="Arial" w:cs="Arial"/>
          <w:b w:val="0"/>
          <w:color w:val="000000"/>
          <w:sz w:val="22"/>
        </w:rPr>
        <w:t>A person not involved in the first decision should review a timely appeal whenever reasonably possible.</w:t>
      </w:r>
    </w:p>
    <w:p>
      <w:pPr>
        <w:pStyle w:val="Heading1"/>
        <w:jc w:val="left"/>
      </w:pPr>
      <w:r>
        <w:rPr>
          <w:rFonts w:ascii="Arial" w:hAnsi="Arial" w:cs="Arial"/>
          <w:b/>
          <w:color w:val="000000"/>
          <w:sz w:val="30"/>
        </w:rPr>
        <w:t>7 Data and intellectual property controls</w:t>
      </w:r>
    </w:p>
    <w:p>
      <w:pPr>
        <w:pStyle w:val="ListBullet"/>
        <w:jc w:val="left"/>
      </w:pPr>
      <w:r>
        <w:rPr>
          <w:rFonts w:ascii="Arial" w:hAnsi="Arial" w:cs="Arial"/>
          <w:b w:val="0"/>
          <w:color w:val="000000"/>
          <w:sz w:val="22"/>
        </w:rPr>
        <w:t>Give artisans only the buyer data needed to fulfil an order. Do not allow reuse for unrelated marketing or off-platform solicitation.</w:t>
      </w:r>
    </w:p>
    <w:p>
      <w:pPr>
        <w:pStyle w:val="ListBullet"/>
        <w:jc w:val="left"/>
      </w:pPr>
      <w:r>
        <w:rPr>
          <w:rFonts w:ascii="Arial" w:hAnsi="Arial" w:cs="Arial"/>
          <w:b w:val="0"/>
          <w:color w:val="000000"/>
          <w:sz w:val="22"/>
        </w:rPr>
        <w:t>Keep acceptance logs, financial records, invoices, and claim evidence using a defined retention period set with legal counsel.</w:t>
      </w:r>
    </w:p>
    <w:p>
      <w:pPr>
        <w:pStyle w:val="ListBullet"/>
        <w:jc w:val="left"/>
      </w:pPr>
      <w:r>
        <w:rPr>
          <w:rFonts w:ascii="Arial" w:hAnsi="Arial" w:cs="Arial"/>
          <w:b w:val="0"/>
          <w:color w:val="000000"/>
          <w:sz w:val="22"/>
        </w:rPr>
        <w:t>The artisan owns their original work. Giftisan's listing and marketing licence should be non-exclusive, limited to marketplace operation, and end after listing removal except for open orders, claims, and record retention.</w:t>
      </w:r>
    </w:p>
    <w:p>
      <w:pPr>
        <w:pStyle w:val="ListBullet"/>
        <w:jc w:val="left"/>
      </w:pPr>
      <w:r>
        <w:rPr>
          <w:rFonts w:ascii="Arial" w:hAnsi="Arial" w:cs="Arial"/>
          <w:b w:val="0"/>
          <w:color w:val="000000"/>
          <w:sz w:val="22"/>
        </w:rPr>
        <w:t>Use a clear route for counterfeit, copyright, privacy, and safety reports, with a documented takedown process.</w:t>
      </w:r>
    </w:p>
    <w:p>
      <w:pPr>
        <w:pStyle w:val="Heading1"/>
        <w:jc w:val="left"/>
      </w:pPr>
      <w:r>
        <w:rPr>
          <w:rFonts w:ascii="Arial" w:hAnsi="Arial" w:cs="Arial"/>
          <w:b/>
          <w:color w:val="000000"/>
          <w:sz w:val="30"/>
        </w:rPr>
        <w:t>8 Monthly control checklist</w:t>
      </w:r>
    </w:p>
    <w:p>
      <w:pPr>
        <w:ind w:left="173" w:right="0"/>
        <w:jc w:val="left"/>
      </w:pPr>
      <w:r>
        <w:rPr>
          <w:rFonts w:ascii="Arial" w:hAnsi="Arial" w:cs="Arial"/>
          <w:b w:val="0"/>
          <w:color w:val="000000"/>
          <w:sz w:val="22"/>
        </w:rPr>
        <w:t>[ ] Reconcile payment provider collections, order totals, artisan ledgers, refunds, and completed payouts.</w:t>
      </w:r>
    </w:p>
    <w:p>
      <w:pPr>
        <w:ind w:left="173" w:right="0"/>
        <w:jc w:val="left"/>
      </w:pPr>
      <w:r>
        <w:rPr>
          <w:rFonts w:ascii="Arial" w:hAnsi="Arial" w:cs="Arial"/>
          <w:b w:val="0"/>
          <w:color w:val="000000"/>
          <w:sz w:val="22"/>
        </w:rPr>
        <w:t>[ ] Review unresolved claims and ensure artisans have received the required evidence and decision reasons.</w:t>
      </w:r>
    </w:p>
    <w:p>
      <w:pPr>
        <w:ind w:left="173" w:right="0"/>
        <w:jc w:val="left"/>
      </w:pPr>
      <w:r>
        <w:rPr>
          <w:rFonts w:ascii="Arial" w:hAnsi="Arial" w:cs="Arial"/>
          <w:b w:val="0"/>
          <w:color w:val="000000"/>
          <w:sz w:val="22"/>
        </w:rPr>
        <w:t>[ ] Check that new or updated artisans accepted the active agreement version before they can create or edit listings.</w:t>
      </w:r>
    </w:p>
    <w:p>
      <w:pPr>
        <w:ind w:left="173" w:right="0"/>
        <w:jc w:val="left"/>
      </w:pPr>
      <w:r>
        <w:rPr>
          <w:rFonts w:ascii="Arial" w:hAnsi="Arial" w:cs="Arial"/>
          <w:b w:val="0"/>
          <w:color w:val="000000"/>
          <w:sz w:val="22"/>
        </w:rPr>
        <w:t>[ ] Audit a sample of listings for authenticity, prohibited goods, accuracy, Arabic customer information, and realistic fulfilment timing.</w:t>
      </w:r>
    </w:p>
    <w:p>
      <w:pPr>
        <w:ind w:left="173" w:right="0"/>
        <w:jc w:val="left"/>
      </w:pPr>
      <w:r>
        <w:rPr>
          <w:rFonts w:ascii="Arial" w:hAnsi="Arial" w:cs="Arial"/>
          <w:b w:val="0"/>
          <w:color w:val="000000"/>
          <w:sz w:val="22"/>
        </w:rPr>
        <w:t>[ ] Review policy changes, support complaints, account suspensions, and appeals for consistent treatment.</w:t>
      </w:r>
    </w:p>
    <w:p>
      <w:pPr>
        <w:ind w:left="173" w:right="0"/>
        <w:jc w:val="left"/>
      </w:pPr>
      <w:r>
        <w:rPr>
          <w:rFonts w:ascii="Arial" w:hAnsi="Arial" w:cs="Arial"/>
          <w:b w:val="0"/>
          <w:color w:val="000000"/>
          <w:sz w:val="22"/>
        </w:rPr>
        <w:t>[ ] Escalate legal, safety, tax, privacy, and recurring-chargeback issues to counsel or the appropriate specialist.</w:t>
      </w:r>
    </w:p>
    <w:p>
      <w:pPr>
        <w:pStyle w:val="Heading1"/>
        <w:jc w:val="left"/>
      </w:pPr>
      <w:r>
        <w:rPr>
          <w:rFonts w:ascii="Arial" w:hAnsi="Arial" w:cs="Arial"/>
          <w:b/>
          <w:color w:val="000000"/>
          <w:sz w:val="30"/>
        </w:rPr>
        <w:t>Acknowledgment and Signatures</w:t>
      </w:r>
    </w:p>
    <w:p>
      <w:pPr>
        <w:jc w:val="left"/>
      </w:pPr>
      <w:r>
        <w:rPr>
          <w:rFonts w:ascii="Arial" w:hAnsi="Arial" w:cs="Arial"/>
          <w:b w:val="0"/>
          <w:color w:val="000000"/>
          <w:sz w:val="22"/>
        </w:rPr>
        <w:t>By signing below or acknowledging this document electronically via the Giftisan platform, the undersigned affirms they have reviewed, understood, and agreed to these terms.</w:t>
      </w:r>
    </w:p>
    <w:p>
      <w:pPr>
        <w:jc w:val="left"/>
      </w:pPr>
      <w:r>
        <w:rPr>
          <w:rFonts w:ascii="Arial" w:hAnsi="Arial" w:cs="Arial"/>
          <w:b w:val="0"/>
          <w:color w:val="000000"/>
          <w:sz w:val="22"/>
        </w:rPr>
        <w:t>Prepared by (Operations / Legal): ______________________________________________________</w:t>
      </w:r>
    </w:p>
    <w:p>
      <w:pPr>
        <w:jc w:val="left"/>
      </w:pPr>
      <w:r>
        <w:rPr>
          <w:rFonts w:ascii="Arial" w:hAnsi="Arial" w:cs="Arial"/>
          <w:b w:val="0"/>
          <w:color w:val="000000"/>
          <w:sz w:val="22"/>
        </w:rPr>
        <w:t>Reviewed by (Finance / Tax): ______________________________________________________</w:t>
      </w:r>
    </w:p>
    <w:p>
      <w:pPr>
        <w:jc w:val="left"/>
      </w:pPr>
      <w:r>
        <w:rPr>
          <w:rFonts w:ascii="Arial" w:hAnsi="Arial" w:cs="Arial"/>
          <w:b w:val="0"/>
          <w:color w:val="000000"/>
          <w:sz w:val="22"/>
        </w:rPr>
        <w:t>Approval Date: ______________________________________________________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