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cs="Arial"/>
          <w:b/>
          <w:color w:val="000000"/>
          <w:sz w:val="46"/>
        </w:rPr>
        <w:t>Giftisan Platform Working Rules and Controls</w:t>
      </w:r>
    </w:p>
    <w:p>
      <w:pPr>
        <w:jc w:val="left"/>
      </w:pPr>
      <w:r>
        <w:rPr>
          <w:rFonts w:ascii="Arial" w:hAnsi="Arial" w:cs="Arial"/>
          <w:b w:val="0"/>
          <w:color w:val="464646"/>
          <w:sz w:val="22"/>
        </w:rPr>
        <w:t>Internal operating standard for onboarding, marketplace operations, claims, payouts, and records</w:t>
      </w:r>
    </w:p>
    <w:p>
      <w:pPr>
        <w:jc w:val="left"/>
      </w:pPr>
      <w:r>
        <w:rPr>
          <w:rFonts w:ascii="Arial" w:hAnsi="Arial" w:cs="Arial"/>
          <w:b/>
          <w:color w:val="464646"/>
          <w:sz w:val="19"/>
        </w:rPr>
        <w:t>Audience: Giftisan founders, operations, customer support, finance, and moderation teams | Version: 2026 v2 working guide</w:t>
      </w:r>
    </w:p>
    <w:p/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This guide explains how Giftisan should operate its artisan marketplace so the platform, artisans, and buyers are treated consistently. It is an operating document, not a substitute for an Egyptian lawyer's final contract and tax review.</w:t>
      </w:r>
    </w:p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1 Operating model to decide before launch</w:t>
      </w:r>
    </w:p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Giftisan must choose and document one customer-facing model for each transaction. Do not describe Giftisan as a marketplace in the artisan contract while issuing buyer invoices as the seller without legal and tax advice.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72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6336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Giftisan must document</w:t>
            </w:r>
          </w:p>
        </w:tc>
        <w:tc>
          <w:tcPr>
            <w:tcW w:type="dxa" w:w="1584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Platform role</w:t>
            </w:r>
          </w:p>
        </w:tc>
        <w:tc>
          <w:tcPr>
            <w:tcW w:type="dxa" w:w="63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Whether Giftisan is an intermediary marketplace, seller of record, or a defined hybrid model.</w:t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Founder and legal counsel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Invoice and tax</w:t>
            </w:r>
          </w:p>
        </w:tc>
        <w:tc>
          <w:tcPr>
            <w:tcW w:type="dxa" w:w="63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Who issues the buyer invoice, whose tax details appear, and who remits applicable taxes.</w:t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Finance and accountant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Payment flow</w:t>
            </w:r>
          </w:p>
        </w:tc>
        <w:tc>
          <w:tcPr>
            <w:tcW w:type="dxa" w:w="63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How buyer money is collected, held, released, reconciled, and refunded. Never describe internal balances as escrow unless the legal structure supports that term.</w:t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Finance and payments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Customer support</w:t>
            </w:r>
          </w:p>
        </w:tc>
        <w:tc>
          <w:tcPr>
            <w:tcW w:type="dxa" w:w="63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Who communicates with buyers and who has authority to approve returns, replacements, credits, and chargebacks.</w:t>
            </w:r>
          </w:p>
        </w:tc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Operations lead</w:t>
            </w:r>
          </w:p>
        </w:tc>
      </w:tr>
    </w:tbl>
    <w:p/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2 Documents Giftisan must keep current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Artisan Partnership Agreement with a unique version number and effective date.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Fee and Payout Schedule showing commission, payment, shipping, reserve, and refund deductions.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Product, Safety, Authenticity, and Intellectual Property Policy.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Returns, Claims, and Appeal Policy for buyers and artisans.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Privacy notice and internal data-access rules for buyer and artisan information.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Customer terms, Arabic product information, and invoice process that match the selected operating model.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A contact address, legal entity name, commercial-registration and tax details once confirmed by counsel.</w:t>
      </w:r>
    </w:p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3 Artisan onboarding control</w:t>
      </w:r>
    </w:p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No artisan should receive selling privileges until the steps below are complete. The same rule must be applied to every artisan; exceptions need an approved written record.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440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Step</w:t>
            </w:r>
          </w:p>
        </w:tc>
        <w:tc>
          <w:tcPr>
            <w:tcW w:type="dxa" w:w="5616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Required control</w:t>
            </w:r>
          </w:p>
        </w:tc>
        <w:tc>
          <w:tcPr>
            <w:tcW w:type="dxa" w:w="2736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Evidence to retain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Identity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Verify contact details and collect the identity, workshop, and payout information appropriate to the artisan's legal status.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Onboarding form and verification status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Agreement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Show the current agreement before acceptance. Capture affirmative clickwrap acceptance. Use a qualified signature process for high-value arrangements if advised.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Version, language, time, signer account, request metadata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Payout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Confirm beneficiary name and the payout address before any withdrawal is approved.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Verified payout details and change history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Product access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Moderate the first listings for authenticity, prohibited items, product information, and images.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Moderation decision and reason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Training</w:t>
            </w:r>
          </w:p>
        </w:tc>
        <w:tc>
          <w:tcPr>
            <w:tcW w:type="dxa" w:w="5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Give the artisan the external handbook and a support contact before their first sale.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Delivery record or dashboard acknowledgment</w:t>
            </w:r>
          </w:p>
        </w:tc>
      </w:tr>
    </w:tbl>
    <w:p/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4 Order and payout operating rules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Show the artisan an itemized ledger for each sale: gross item amount, artisan-funded discount, commission, shipping or payment deductions if applicable, reserve, refund debit, and payout.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Release money only under a published timetable tied to verified delivery and the stated refund or fraud-review window.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Do not make an unexplained deduction. Every deduction needs a reason, related order or claim, amount, and decision maker.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Keep undisputed balances separate from disputed amounts. Suspension or closure must not erase the duty to account for undisputed balances.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Give advance notice before a material future change to fees or payout rules. Version the change and preserve the prior terms for affected orders.</w:t>
      </w:r>
    </w:p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5 Claims refunds and defects</w:t>
      </w:r>
    </w:p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Giftisan should handle the buyer-facing process consistently while giving the artisan a fair chance to respond. Consumer protections cannot be waived by an artisan agreement or a buyer policy.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44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Claim type</w:t>
            </w:r>
          </w:p>
        </w:tc>
        <w:tc>
          <w:tcPr>
            <w:tcW w:type="dxa" w:w="4680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First action</w:t>
            </w:r>
          </w:p>
        </w:tc>
        <w:tc>
          <w:tcPr>
            <w:tcW w:type="dxa" w:w="3168"/>
            <w:vAlign w:val="center"/>
            <w:shd w:fill="07563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Responsibility decision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Damaged in transit</w:t>
            </w:r>
          </w:p>
        </w:tc>
        <w:tc>
          <w:tcPr>
            <w:tcW w:type="dxa" w:w="46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Collect photos, packaging evidence, delivery data, and courier scan history.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Charge the artisan only where packaging or product fault is supported; otherwise pursue carrier recovery where available.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Defective or wrong item</w:t>
            </w:r>
          </w:p>
        </w:tc>
        <w:tc>
          <w:tcPr>
            <w:tcW w:type="dxa" w:w="46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Compare the evidence with the listing and order specification. Give the artisan a response window where practical.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Offer repair, replacement, or refund as required. Record the reason and the final allocation.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Not as described</w:t>
            </w:r>
          </w:p>
        </w:tc>
        <w:tc>
          <w:tcPr>
            <w:tcW w:type="dxa" w:w="46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Review images, description, variants, personalization instructions, and buyer evidence.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Charge only the part attributable to inaccurate listing or fulfilment.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Change of mind</w:t>
            </w:r>
          </w:p>
        </w:tc>
        <w:tc>
          <w:tcPr>
            <w:tcW w:type="dxa" w:w="46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Check whether the item is bespoke and whether an exclusion is legally permitted.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shd w:fill="F7F7F7"/>
          </w:tcPr>
          <w:p>
            <w:pPr>
              <w:jc w:val="left"/>
            </w:pPr>
            <w:r>
              <w:rPr>
                <w:rFonts w:ascii="Arial" w:hAnsi="Arial" w:cs="Arial"/>
                <w:b w:val="0"/>
                <w:color w:val="000000"/>
                <w:sz w:val="18"/>
              </w:rPr>
              <w:t>Do not use a policy to override mandatory consumer rights.</w:t>
            </w:r>
          </w:p>
        </w:tc>
      </w:tr>
    </w:tbl>
    <w:p/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6 Enforcement suspension and appeals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Use immediate suspension only for credible safety, fraud, counterfeit, unlawful-content, or serious abuse risks.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For ordinary quality or timing problems, issue a written reason, evidence, corrective action, deadline, and appeal channel.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Record enforcement decisions consistently. A dashboard notice or email should state the effect on live listings, open orders, and funds.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A person not involved in the first decision should review a timely appeal whenever reasonably possible.</w:t>
      </w:r>
    </w:p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7 Data and intellectual property controls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Give artisans only the buyer data needed to fulfil an order. Do not allow reuse for unrelated marketing or off-platform solicitation.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Keep acceptance logs, financial records, invoices, and claim evidence using a defined retention period set with legal counsel.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The artisan owns their original work. Giftisan's listing and marketing licence should be non-exclusive, limited to marketplace operation, and end after listing removal except for open orders, claims, and record retention.</w:t>
      </w:r>
    </w:p>
    <w:p>
      <w:pPr>
        <w:pStyle w:val="ListBullet"/>
        <w:jc w:val="left"/>
      </w:pPr>
      <w:r>
        <w:rPr>
          <w:rFonts w:ascii="Arial" w:hAnsi="Arial" w:cs="Arial"/>
          <w:b w:val="0"/>
          <w:color w:val="000000"/>
          <w:sz w:val="22"/>
        </w:rPr>
        <w:t>Use a clear route for counterfeit, copyright, privacy, and safety reports, with a documented takedown process.</w:t>
      </w:r>
    </w:p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8 Monthly control checklist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Reconcile payment provider collections, order totals, artisan ledgers, refunds, and completed payouts.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Review unresolved claims and ensure artisans have received the required evidence and decision reasons.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Check that new or updated artisans accepted the active agreement version before they can create or edit listings.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Audit a sample of listings for authenticity, prohibited goods, accuracy, Arabic customer information, and realistic fulfilment timing.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Review policy changes, support complaints, account suspensions, and appeals for consistent treatment.</w:t>
      </w:r>
    </w:p>
    <w:p>
      <w:pPr>
        <w:ind w:left="173" w:right="0"/>
        <w:jc w:val="left"/>
      </w:pPr>
      <w:r>
        <w:rPr>
          <w:rFonts w:ascii="Arial" w:hAnsi="Arial" w:cs="Arial"/>
          <w:b w:val="0"/>
          <w:color w:val="000000"/>
          <w:sz w:val="22"/>
        </w:rPr>
        <w:t>[ ] Escalate legal, safety, tax, privacy, and recurring-chargeback issues to counsel or the appropriate specialist.</w:t>
      </w:r>
    </w:p>
    <w:p>
      <w:pPr>
        <w:pStyle w:val="Heading1"/>
        <w:jc w:val="left"/>
      </w:pPr>
      <w:r>
        <w:rPr>
          <w:rFonts w:ascii="Arial" w:hAnsi="Arial" w:cs="Arial"/>
          <w:b/>
          <w:color w:val="000000"/>
          <w:sz w:val="30"/>
        </w:rPr>
        <w:t>Acknowledgment and Signatures</w:t>
      </w:r>
    </w:p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By signing below or acknowledging this document electronically via the Giftisan platform, the undersigned affirms they have reviewed, understood, and agreed to these terms.</w:t>
      </w:r>
    </w:p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Prepared by (Operations / Legal): ______________________________________________________</w:t>
      </w:r>
    </w:p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Reviewed by (Finance / Tax): ______________________________________________________</w:t>
      </w:r>
    </w:p>
    <w:p>
      <w:pPr>
        <w:jc w:val="left"/>
      </w:pPr>
      <w:r>
        <w:rPr>
          <w:rFonts w:ascii="Arial" w:hAnsi="Arial" w:cs="Arial"/>
          <w:b w:val="0"/>
          <w:color w:val="000000"/>
          <w:sz w:val="22"/>
        </w:rPr>
        <w:t>Approval Date: ______________________________________________________</w:t>
      </w:r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cs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