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SERVICES AGREEMENT</w:t>
      </w:r>
    </w:p>
    <w:p>
      <w:r>
        <w:t>This Master Services Agreement ("Agreement") is entered into as of October 1, 2024, by and between Apex Enterprise Solutions Inc., a Delaware corporation ("Provider"), and Global Logistics Partners LLC, a California limited liability company ("Customer").</w:t>
      </w:r>
    </w:p>
    <w:p>
      <w:pPr>
        <w:pStyle w:val="Heading1"/>
      </w:pPr>
      <w:r>
        <w:t>1. Scope of Services &amp; Deliverables</w:t>
      </w:r>
    </w:p>
    <w:p>
      <w:r>
        <w:t>Provider shall provide enterprise document intelligence software, cloud deployment, and associated consulting services as described in Statement of Work No. 1. Provider will use commercially reasonable efforts to deliver the services within the designated timeline.</w:t>
      </w:r>
    </w:p>
    <w:p>
      <w:pPr>
        <w:pStyle w:val="Heading1"/>
      </w:pPr>
      <w:r>
        <w:t>2. Payment Terms &amp; Invoicing</w:t>
      </w:r>
    </w:p>
    <w:p>
      <w:r>
        <w:t>Customer shall pay all invoices within thirty (30) days of receipt. In the event Customer fails to pay within said period, a late fee of 1.5% per month or the maximum rate permitted by law shall accrue on all outstanding balances.</w:t>
      </w:r>
    </w:p>
    <w:p>
      <w:pPr>
        <w:pStyle w:val="Heading1"/>
      </w:pPr>
      <w:r>
        <w:t>3. Confidentiality &amp; Non-Disclosure</w:t>
      </w:r>
    </w:p>
    <w:p>
      <w:r>
        <w:t>Each party agrees that all code, inventions, business plans, technical processes, and financial terms disclosed under this Agreement constitute Confidential Information. The receiving party shall hold such Confidential Information in strict confidence using at least a reasonable standard of care and shall not disclose it to any third party without prior written consent.</w:t>
      </w:r>
    </w:p>
    <w:p>
      <w:pPr>
        <w:pStyle w:val="Heading1"/>
      </w:pPr>
      <w:r>
        <w:t>4. Indemnification &amp; Defense</w:t>
      </w:r>
    </w:p>
    <w:p>
      <w:r>
        <w:t>Customer shall indemnify, defend, and hold harmless Provider, its officers, directors, and employees against any and all claims, liabilities, losses, damages, and reasonable attorney fees arising out of Customer breach of this Agreement, unauthorized use of Deliverables, or gross negligence.</w:t>
      </w:r>
    </w:p>
    <w:p>
      <w:pPr>
        <w:pStyle w:val="Heading1"/>
      </w:pPr>
      <w:r>
        <w:t>5. Limitation of Liability</w:t>
      </w:r>
    </w:p>
    <w:p>
      <w:r>
        <w:t>IN NO EVENT SHALL EITHER PARTY BE LIABLE FOR ANY INDIRECT, INCIDENTAL, SPECIAL, CONSEQUENTIAL, OR PUNITIVE DAMAGES ARISING OUT OF THIS AGREEMENT. PROVIDER TOTAL AGGREGATE LIABILITY UNDER THIS AGREEMENT SHALL IN NO EVENT EXCEED THE TOTAL FEES ACTUALLY PAID BY CUSTOMER IN THE PRECEDING TWELVE (12) MONTH PERIOD. NOTWITHSTANDING THE FOREGOING, CUSTOMER LIABILITIES REGARDING INDEMNITY OBLIGATIONS SHALL NOT BE LIMITED.</w:t>
      </w:r>
    </w:p>
    <w:p>
      <w:pPr>
        <w:pStyle w:val="Heading1"/>
      </w:pPr>
      <w:r>
        <w:t>6. Term and Termination</w:t>
      </w:r>
    </w:p>
    <w:p>
      <w:r>
        <w:t>This Agreement shall commence on the Effective Date and remain in effect for an initial period of two (2) years. This Agreement shall automatically renew for additional consecutive one-year terms unless either party provides written notice of non-renewal at least 60 days prior to expiration. Either party may terminate upon 10 days written notice in its sole discretion.</w:t>
      </w:r>
    </w:p>
    <w:p>
      <w:pPr>
        <w:pStyle w:val="Heading1"/>
      </w:pPr>
      <w:r>
        <w:t>7. Governing Law &amp; Dispute Resolution</w:t>
      </w:r>
    </w:p>
    <w:p>
      <w:r>
        <w:t>This Agreement shall be governed by and construed in accordance with the laws of the State of New York, without regard to conflicts of law principles. Any dispute arising hereunder shall be submitted to binding arbitration in New York City under the rules of the American Arbitration Association.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