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0720" w:rsidRDefault="00C0013C">
      <w:pPr>
        <w:contextualSpacing w:val="0"/>
        <w:jc w:val="center"/>
        <w:rPr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t>禮品店POS操作手冊</w:t>
      </w:r>
    </w:p>
    <w:p w:rsidR="00500720" w:rsidRDefault="00500720">
      <w:pPr>
        <w:contextualSpacing w:val="0"/>
        <w:rPr>
          <w:sz w:val="48"/>
          <w:szCs w:val="48"/>
        </w:rPr>
      </w:pPr>
    </w:p>
    <w:p w:rsidR="00500720" w:rsidRDefault="00C0013C">
      <w:pPr>
        <w:contextualSpacing w:val="0"/>
        <w:rPr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t>一、POS機結帳流程(現金)...................P2</w:t>
      </w:r>
    </w:p>
    <w:p w:rsidR="00500720" w:rsidRDefault="00500720">
      <w:pPr>
        <w:contextualSpacing w:val="0"/>
        <w:rPr>
          <w:sz w:val="48"/>
          <w:szCs w:val="48"/>
        </w:rPr>
      </w:pPr>
    </w:p>
    <w:p w:rsidR="00500720" w:rsidRDefault="00C0013C">
      <w:pPr>
        <w:contextualSpacing w:val="0"/>
        <w:rPr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t>二、POS機結帳流程(信用卡)...............P3</w:t>
      </w:r>
    </w:p>
    <w:p w:rsidR="00500720" w:rsidRDefault="00500720">
      <w:pPr>
        <w:contextualSpacing w:val="0"/>
        <w:rPr>
          <w:sz w:val="48"/>
          <w:szCs w:val="48"/>
        </w:rPr>
      </w:pPr>
    </w:p>
    <w:p w:rsidR="00500720" w:rsidRDefault="00C0013C">
      <w:pPr>
        <w:contextualSpacing w:val="0"/>
        <w:rPr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t>三、POS機結帳流程(內部轉帳)........... P4</w:t>
      </w:r>
    </w:p>
    <w:p w:rsidR="00500720" w:rsidRDefault="00500720">
      <w:pPr>
        <w:contextualSpacing w:val="0"/>
        <w:rPr>
          <w:sz w:val="48"/>
          <w:szCs w:val="48"/>
        </w:rPr>
      </w:pPr>
    </w:p>
    <w:p w:rsidR="00500720" w:rsidRDefault="00C0013C">
      <w:pPr>
        <w:contextualSpacing w:val="0"/>
        <w:rPr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t>四、同商品多數量結帳流程..................P5</w:t>
      </w:r>
    </w:p>
    <w:p w:rsidR="00500720" w:rsidRDefault="00500720">
      <w:pPr>
        <w:contextualSpacing w:val="0"/>
        <w:rPr>
          <w:sz w:val="48"/>
          <w:szCs w:val="48"/>
        </w:rPr>
      </w:pPr>
    </w:p>
    <w:p w:rsidR="00500720" w:rsidRDefault="00C0013C">
      <w:pPr>
        <w:contextualSpacing w:val="0"/>
        <w:rPr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t>五、POS機每日結帳流程......................P6</w:t>
      </w:r>
    </w:p>
    <w:p w:rsidR="00500720" w:rsidRDefault="00500720">
      <w:pPr>
        <w:contextualSpacing w:val="0"/>
        <w:rPr>
          <w:sz w:val="48"/>
          <w:szCs w:val="48"/>
        </w:rPr>
      </w:pPr>
    </w:p>
    <w:p w:rsidR="00500720" w:rsidRDefault="00C0013C">
      <w:pPr>
        <w:contextualSpacing w:val="0"/>
        <w:rPr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t>六、常用統編與抬頭..............................P9</w:t>
      </w:r>
    </w:p>
    <w:p w:rsidR="00500720" w:rsidRDefault="00500720">
      <w:pPr>
        <w:contextualSpacing w:val="0"/>
        <w:rPr>
          <w:sz w:val="48"/>
          <w:szCs w:val="48"/>
        </w:rPr>
      </w:pPr>
    </w:p>
    <w:p w:rsidR="00500720" w:rsidRDefault="00500720">
      <w:pPr>
        <w:contextualSpacing w:val="0"/>
        <w:rPr>
          <w:sz w:val="48"/>
          <w:szCs w:val="48"/>
        </w:rPr>
      </w:pPr>
    </w:p>
    <w:p w:rsidR="00500720" w:rsidRDefault="00500720">
      <w:pPr>
        <w:contextualSpacing w:val="0"/>
        <w:rPr>
          <w:sz w:val="48"/>
          <w:szCs w:val="48"/>
        </w:rPr>
      </w:pPr>
    </w:p>
    <w:p w:rsidR="00500720" w:rsidRDefault="00500720">
      <w:pPr>
        <w:contextualSpacing w:val="0"/>
        <w:rPr>
          <w:sz w:val="48"/>
          <w:szCs w:val="48"/>
        </w:rPr>
      </w:pPr>
    </w:p>
    <w:p w:rsidR="00500720" w:rsidRDefault="00500720">
      <w:pPr>
        <w:contextualSpacing w:val="0"/>
        <w:rPr>
          <w:rFonts w:hint="eastAsia"/>
          <w:sz w:val="48"/>
          <w:szCs w:val="48"/>
        </w:rPr>
      </w:pPr>
    </w:p>
    <w:p w:rsidR="00500720" w:rsidRDefault="00C0013C">
      <w:pPr>
        <w:contextualSpacing w:val="0"/>
        <w:jc w:val="center"/>
        <w:rPr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lastRenderedPageBreak/>
        <w:t>POS機結帳流程(現金)</w:t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一、進入POS畫面，選擇1.收銀作業</w:t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262438" cy="3203916"/>
            <wp:effectExtent l="0" t="0" r="0" b="0"/>
            <wp:docPr id="9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203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二、進入收銀作業畫面→刷商品條碼→按小計→輸入客人付現金額</w:t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→按總計→螢幕會顯示找零金額並開立發票。</w:t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443538" cy="4091176"/>
            <wp:effectExtent l="0" t="0" r="0" b="0"/>
            <wp:docPr id="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091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720" w:rsidRDefault="00C0013C">
      <w:pPr>
        <w:contextualSpacing w:val="0"/>
        <w:jc w:val="center"/>
        <w:rPr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lastRenderedPageBreak/>
        <w:t>POS機結帳流程(信用卡)</w:t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一、進入POS畫面，選擇1.收銀作業</w:t>
      </w:r>
    </w:p>
    <w:p w:rsidR="00DC5D6F" w:rsidRDefault="00DC5D6F">
      <w:pPr>
        <w:contextualSpacing w:val="0"/>
        <w:rPr>
          <w:sz w:val="24"/>
          <w:szCs w:val="24"/>
        </w:rPr>
      </w:pPr>
    </w:p>
    <w:p w:rsidR="00500720" w:rsidRDefault="00C0013C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二、進入收銀作業畫面→刷商品條碼→按小計→選擇變動功能→信用卡號→輸入信用卡後四碼→刷卡→選擇信卡付款→開立發票</w:t>
      </w:r>
      <w:r>
        <w:rPr>
          <w:noProof/>
          <w:sz w:val="24"/>
          <w:szCs w:val="24"/>
        </w:rPr>
        <w:drawing>
          <wp:inline distT="114300" distB="114300" distL="114300" distR="114300">
            <wp:extent cx="5734050" cy="4305300"/>
            <wp:effectExtent l="0" t="0" r="0" b="0"/>
            <wp:docPr id="10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sz w:val="48"/>
          <w:szCs w:val="48"/>
        </w:rPr>
      </w:pP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sz w:val="48"/>
          <w:szCs w:val="48"/>
        </w:rPr>
      </w:pP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sz w:val="48"/>
          <w:szCs w:val="48"/>
        </w:rPr>
      </w:pP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sz w:val="48"/>
          <w:szCs w:val="48"/>
        </w:rPr>
      </w:pPr>
    </w:p>
    <w:p w:rsidR="00500720" w:rsidRDefault="00C0013C">
      <w:pPr>
        <w:contextualSpacing w:val="0"/>
        <w:jc w:val="center"/>
        <w:rPr>
          <w:sz w:val="48"/>
          <w:szCs w:val="48"/>
        </w:rPr>
      </w:pPr>
      <w:r>
        <w:rPr>
          <w:rFonts w:ascii="Arial Unicode MS" w:eastAsia="Arial Unicode MS" w:hAnsi="Arial Unicode MS" w:cs="Arial Unicode MS"/>
          <w:sz w:val="48"/>
          <w:szCs w:val="48"/>
        </w:rPr>
        <w:lastRenderedPageBreak/>
        <w:t>POS機結帳流程(內部轉帳)</w:t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一、進入POS畫面，選擇1.收銀作業</w:t>
      </w:r>
    </w:p>
    <w:p w:rsidR="00DC5D6F" w:rsidRDefault="00C0013C">
      <w:pPr>
        <w:contextualSpacing w:val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568700" cy="2682459"/>
            <wp:effectExtent l="0" t="0" r="0" b="3810"/>
            <wp:docPr id="11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831" cy="2687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720" w:rsidRPr="00DC5D6F" w:rsidRDefault="00C0013C">
      <w:pPr>
        <w:contextualSpacing w:val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二、進入收銀作業畫面→輸入統一編號→輸入客戶編號→刷商品條碼→小計→選擇應收款→POS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機開立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發票 </w:t>
      </w:r>
      <w:r>
        <w:rPr>
          <w:noProof/>
          <w:sz w:val="24"/>
          <w:szCs w:val="24"/>
        </w:rPr>
        <w:drawing>
          <wp:inline distT="114300" distB="114300" distL="114300" distR="114300">
            <wp:extent cx="5734050" cy="4205288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5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720" w:rsidRDefault="00500720">
      <w:pPr>
        <w:contextualSpacing w:val="0"/>
        <w:rPr>
          <w:sz w:val="24"/>
          <w:szCs w:val="24"/>
        </w:rPr>
      </w:pPr>
    </w:p>
    <w:p w:rsidR="00500720" w:rsidRDefault="00C0013C">
      <w:pPr>
        <w:contextualSpacing w:val="0"/>
        <w:jc w:val="center"/>
        <w:rPr>
          <w:b/>
          <w:sz w:val="48"/>
          <w:szCs w:val="48"/>
        </w:rPr>
      </w:pPr>
      <w:r>
        <w:rPr>
          <w:rFonts w:ascii="Arial Unicode MS" w:eastAsia="Arial Unicode MS" w:hAnsi="Arial Unicode MS" w:cs="Arial Unicode MS"/>
          <w:b/>
          <w:sz w:val="48"/>
          <w:szCs w:val="48"/>
        </w:rPr>
        <w:lastRenderedPageBreak/>
        <w:t>同商品多數量結帳流程</w:t>
      </w:r>
    </w:p>
    <w:p w:rsidR="00500720" w:rsidRDefault="00500720">
      <w:pPr>
        <w:contextualSpacing w:val="0"/>
        <w:jc w:val="center"/>
        <w:rPr>
          <w:b/>
          <w:sz w:val="28"/>
          <w:szCs w:val="28"/>
        </w:rPr>
      </w:pPr>
    </w:p>
    <w:p w:rsidR="00500720" w:rsidRDefault="00C0013C">
      <w:pPr>
        <w:contextualSpacing w:val="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一、進入收銀作業畫面→輸入商品數量→選擇X符號→ 輸入商品金額</w:t>
      </w:r>
    </w:p>
    <w:p w:rsidR="00500720" w:rsidRDefault="00C0013C">
      <w:pPr>
        <w:contextualSpacing w:val="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       →按單價鈕→刷商品條碼→小計→總計→開立發票</w:t>
      </w: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C0013C">
      <w:pPr>
        <w:contextualSpacing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734050" cy="4305300"/>
            <wp:effectExtent l="0" t="0" r="0" b="0"/>
            <wp:docPr id="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500720">
      <w:pPr>
        <w:contextualSpacing w:val="0"/>
        <w:rPr>
          <w:sz w:val="28"/>
          <w:szCs w:val="28"/>
        </w:rPr>
      </w:pPr>
    </w:p>
    <w:p w:rsidR="00500720" w:rsidRDefault="00C0013C">
      <w:pPr>
        <w:contextualSpacing w:val="0"/>
        <w:jc w:val="center"/>
        <w:rPr>
          <w:b/>
          <w:sz w:val="48"/>
          <w:szCs w:val="48"/>
        </w:rPr>
      </w:pPr>
      <w:r>
        <w:rPr>
          <w:rFonts w:ascii="Arial Unicode MS" w:eastAsia="Arial Unicode MS" w:hAnsi="Arial Unicode MS" w:cs="Arial Unicode MS"/>
          <w:b/>
          <w:sz w:val="48"/>
          <w:szCs w:val="48"/>
        </w:rPr>
        <w:t>每日結帳流程</w:t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一、</w:t>
      </w:r>
      <w:r>
        <w:rPr>
          <w:rFonts w:ascii="Arial Unicode MS" w:eastAsia="Arial Unicode MS" w:hAnsi="Arial Unicode MS" w:cs="Arial Unicode MS"/>
          <w:sz w:val="24"/>
          <w:szCs w:val="24"/>
        </w:rPr>
        <w:t>進入POS機畫面，選擇收銀機結帳分析表</w:t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898900" cy="2933700"/>
            <wp:effectExtent l="0" t="0" r="6350" b="0"/>
            <wp:docPr id="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325" cy="293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二、將發票機發票替換為列印紙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捲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→選擇當日日期→型態選1.列印</w:t>
      </w:r>
    </w:p>
    <w:p w:rsidR="00500720" w:rsidRDefault="00C0013C">
      <w:pPr>
        <w:contextualSpacing w:val="0"/>
        <w:rPr>
          <w:rFonts w:hint="eastAsia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→確定→列印出當日銷售報表→將發票機列印紙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捲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換回發票</w:t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042666" cy="3786188"/>
            <wp:effectExtent l="0" t="0" r="0" b="0"/>
            <wp:docPr id="12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2666" cy="3786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D6F" w:rsidRDefault="00DC5D6F">
      <w:pPr>
        <w:contextualSpacing w:val="0"/>
        <w:rPr>
          <w:rFonts w:ascii="Arial Unicode MS" w:eastAsia="Arial Unicode MS" w:hAnsi="Arial Unicode MS" w:cs="Arial Unicode MS"/>
          <w:sz w:val="24"/>
          <w:szCs w:val="24"/>
        </w:rPr>
      </w:pPr>
    </w:p>
    <w:p w:rsidR="00500720" w:rsidRDefault="00C0013C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三、將每日銷貨資料從POS機匯入後台SAP系統</w:t>
      </w:r>
    </w:p>
    <w:p w:rsidR="00500720" w:rsidRDefault="00C0013C">
      <w:pPr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34036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720" w:rsidRDefault="004F0161">
      <w:pPr>
        <w:contextualSpacing w:val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5DC4E3" wp14:editId="0256F9F5">
            <wp:simplePos x="0" y="0"/>
            <wp:positionH relativeFrom="column">
              <wp:posOffset>923925</wp:posOffset>
            </wp:positionH>
            <wp:positionV relativeFrom="paragraph">
              <wp:posOffset>228600</wp:posOffset>
            </wp:positionV>
            <wp:extent cx="352425" cy="396240"/>
            <wp:effectExtent l="0" t="0" r="9525" b="381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13C">
        <w:rPr>
          <w:rFonts w:ascii="Arial Unicode MS" w:eastAsia="Arial Unicode MS" w:hAnsi="Arial Unicode MS" w:cs="Arial Unicode MS"/>
          <w:sz w:val="24"/>
          <w:szCs w:val="24"/>
        </w:rPr>
        <w:t>1.選擇F銷貨資料</w:t>
      </w:r>
      <w:proofErr w:type="gramStart"/>
      <w:r w:rsidR="00C0013C">
        <w:rPr>
          <w:rFonts w:ascii="Arial Unicode MS" w:eastAsia="Arial Unicode MS" w:hAnsi="Arial Unicode MS" w:cs="Arial Unicode MS"/>
          <w:sz w:val="24"/>
          <w:szCs w:val="24"/>
        </w:rPr>
        <w:t>匯</w:t>
      </w:r>
      <w:proofErr w:type="gramEnd"/>
      <w:r w:rsidR="00C0013C">
        <w:rPr>
          <w:rFonts w:ascii="Arial Unicode MS" w:eastAsia="Arial Unicode MS" w:hAnsi="Arial Unicode MS" w:cs="Arial Unicode MS"/>
          <w:sz w:val="24"/>
          <w:szCs w:val="24"/>
        </w:rPr>
        <w:t>至後台,選擇日期,</w:t>
      </w:r>
      <w:proofErr w:type="gramStart"/>
      <w:r w:rsidR="00C0013C">
        <w:rPr>
          <w:rFonts w:ascii="Arial Unicode MS" w:eastAsia="Arial Unicode MS" w:hAnsi="Arial Unicode MS" w:cs="Arial Unicode MS"/>
          <w:sz w:val="24"/>
          <w:szCs w:val="24"/>
        </w:rPr>
        <w:t>按重</w:t>
      </w:r>
      <w:proofErr w:type="gramEnd"/>
      <w:r w:rsidR="00C0013C">
        <w:rPr>
          <w:rFonts w:ascii="Arial Unicode MS" w:eastAsia="Arial Unicode MS" w:hAnsi="Arial Unicode MS" w:cs="Arial Unicode MS"/>
          <w:sz w:val="24"/>
          <w:szCs w:val="24"/>
        </w:rPr>
        <w:t>轉</w:t>
      </w:r>
    </w:p>
    <w:p w:rsidR="00500720" w:rsidRDefault="00C0013C">
      <w:pPr>
        <w:contextualSpacing w:val="0"/>
        <w:rPr>
          <w:rFonts w:ascii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2.選擇桌面轉檔程式</w:t>
      </w:r>
    </w:p>
    <w:p w:rsidR="004F0161" w:rsidRPr="004F0161" w:rsidRDefault="004F0161">
      <w:pPr>
        <w:contextualSpacing w:val="0"/>
        <w:rPr>
          <w:sz w:val="24"/>
          <w:szCs w:val="24"/>
        </w:rPr>
      </w:pPr>
    </w:p>
    <w:p w:rsidR="00500720" w:rsidRDefault="00C0013C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選擇CB01檔案並匯入</w:t>
      </w:r>
    </w:p>
    <w:p w:rsidR="00500720" w:rsidRDefault="004F0161">
      <w:pPr>
        <w:contextualSpacing w:val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9BF22D" wp14:editId="4740BD7B">
            <wp:extent cx="5733415" cy="4049395"/>
            <wp:effectExtent l="0" t="0" r="635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61" w:rsidRDefault="004F0161">
      <w:pPr>
        <w:contextualSpacing w:val="0"/>
        <w:rPr>
          <w:rFonts w:ascii="Arial Unicode MS" w:hAnsi="Arial Unicode MS" w:cs="Arial Unicode MS"/>
          <w:sz w:val="24"/>
          <w:szCs w:val="24"/>
        </w:rPr>
      </w:pPr>
    </w:p>
    <w:p w:rsidR="00500720" w:rsidRDefault="00C0013C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四、列印前台銷售分析報表→選擇當日日期→選擇預覽</w:t>
      </w:r>
    </w:p>
    <w:p w:rsidR="00500720" w:rsidRDefault="00C0013C" w:rsidP="006B0DE0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→</w:t>
      </w:r>
      <w:r w:rsidR="006B0DE0">
        <w:rPr>
          <w:rFonts w:asciiTheme="minorEastAsia" w:hAnsiTheme="minorEastAsia" w:cs="Arial Unicode MS" w:hint="eastAsia"/>
          <w:sz w:val="24"/>
          <w:szCs w:val="24"/>
        </w:rPr>
        <w:t>列印報表</w:t>
      </w:r>
    </w:p>
    <w:p w:rsidR="00500720" w:rsidRDefault="00500720">
      <w:pPr>
        <w:contextualSpacing w:val="0"/>
        <w:rPr>
          <w:sz w:val="24"/>
          <w:szCs w:val="24"/>
        </w:rPr>
      </w:pPr>
    </w:p>
    <w:p w:rsidR="00500720" w:rsidRDefault="00C0013C">
      <w:pPr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819775" cy="3057525"/>
            <wp:effectExtent l="0" t="0" r="9525" b="9525"/>
            <wp:docPr id="13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D6F" w:rsidRDefault="00DC5D6F">
      <w:pPr>
        <w:contextualSpacing w:val="0"/>
        <w:rPr>
          <w:sz w:val="24"/>
          <w:szCs w:val="24"/>
        </w:rPr>
      </w:pPr>
    </w:p>
    <w:p w:rsidR="00DC5D6F" w:rsidRDefault="00DC5D6F">
      <w:pPr>
        <w:contextualSpacing w:val="0"/>
        <w:rPr>
          <w:sz w:val="24"/>
          <w:szCs w:val="24"/>
        </w:rPr>
      </w:pPr>
    </w:p>
    <w:p w:rsidR="00500720" w:rsidRDefault="00286F3B">
      <w:pPr>
        <w:contextualSpacing w:val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五、當日交易資料備份</w:t>
      </w:r>
    </w:p>
    <w:p w:rsidR="00500720" w:rsidRDefault="00286F3B">
      <w:pPr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00725" cy="2837815"/>
            <wp:effectExtent l="0" t="0" r="9525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未命名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80" cy="285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20" w:rsidRDefault="00286F3B">
      <w:pPr>
        <w:contextualSpacing w:val="0"/>
        <w:rPr>
          <w:rFonts w:asciiTheme="minorEastAsia" w:hAnsiTheme="minorEastAsia" w:cs="Arial Unicode MS"/>
          <w:sz w:val="24"/>
          <w:szCs w:val="24"/>
        </w:rPr>
      </w:pPr>
      <w:r>
        <w:rPr>
          <w:rFonts w:hint="eastAsia"/>
          <w:sz w:val="24"/>
          <w:szCs w:val="24"/>
        </w:rPr>
        <w:t>系統資料備份</w:t>
      </w:r>
      <w:r>
        <w:rPr>
          <w:rFonts w:ascii="Arial Unicode MS" w:eastAsia="Arial Unicode MS" w:hAnsi="Arial Unicode MS" w:cs="Arial Unicode MS"/>
          <w:sz w:val="24"/>
          <w:szCs w:val="24"/>
        </w:rPr>
        <w:t>→</w:t>
      </w:r>
      <w:r>
        <w:rPr>
          <w:rFonts w:asciiTheme="minorEastAsia" w:hAnsiTheme="minorEastAsia" w:cs="Arial Unicode MS" w:hint="eastAsia"/>
          <w:sz w:val="24"/>
          <w:szCs w:val="24"/>
        </w:rPr>
        <w:t>儲存位置選擇隨身碟</w:t>
      </w:r>
      <w:r>
        <w:rPr>
          <w:rFonts w:ascii="Arial Unicode MS" w:eastAsia="Arial Unicode MS" w:hAnsi="Arial Unicode MS" w:cs="Arial Unicode MS"/>
          <w:sz w:val="24"/>
          <w:szCs w:val="24"/>
        </w:rPr>
        <w:t>→pos backup→</w:t>
      </w:r>
      <w:r>
        <w:rPr>
          <w:rFonts w:asciiTheme="minorEastAsia" w:hAnsiTheme="minorEastAsia" w:cs="Arial Unicode MS" w:hint="eastAsia"/>
          <w:sz w:val="24"/>
          <w:szCs w:val="24"/>
        </w:rPr>
        <w:t>選擇當日星期資料夾</w:t>
      </w:r>
    </w:p>
    <w:p w:rsidR="00286F3B" w:rsidRDefault="00286F3B">
      <w:pPr>
        <w:contextualSpacing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</w:t>
      </w:r>
      <w:r>
        <w:rPr>
          <w:rFonts w:asciiTheme="minorEastAsia" w:hAnsiTheme="minorEastAsia" w:cs="Arial Unicode MS" w:hint="eastAsia"/>
          <w:sz w:val="24"/>
          <w:szCs w:val="24"/>
        </w:rPr>
        <w:t>備份。</w:t>
      </w:r>
    </w:p>
    <w:p w:rsidR="00500720" w:rsidRDefault="00500720">
      <w:pPr>
        <w:contextualSpacing w:val="0"/>
        <w:rPr>
          <w:sz w:val="24"/>
          <w:szCs w:val="24"/>
        </w:rPr>
      </w:pPr>
    </w:p>
    <w:p w:rsidR="00500720" w:rsidRDefault="00500720">
      <w:pPr>
        <w:contextualSpacing w:val="0"/>
        <w:rPr>
          <w:sz w:val="24"/>
          <w:szCs w:val="24"/>
        </w:rPr>
      </w:pPr>
    </w:p>
    <w:p w:rsidR="00500720" w:rsidRDefault="00500720">
      <w:pPr>
        <w:contextualSpacing w:val="0"/>
        <w:rPr>
          <w:sz w:val="24"/>
          <w:szCs w:val="24"/>
        </w:rPr>
      </w:pPr>
    </w:p>
    <w:p w:rsidR="00500720" w:rsidRDefault="00500720">
      <w:pPr>
        <w:contextualSpacing w:val="0"/>
        <w:rPr>
          <w:sz w:val="24"/>
          <w:szCs w:val="24"/>
        </w:rPr>
      </w:pPr>
    </w:p>
    <w:p w:rsidR="00500720" w:rsidRDefault="00500720">
      <w:pPr>
        <w:contextualSpacing w:val="0"/>
        <w:rPr>
          <w:sz w:val="24"/>
          <w:szCs w:val="24"/>
        </w:rPr>
      </w:pPr>
    </w:p>
    <w:p w:rsidR="00500720" w:rsidRDefault="00500720">
      <w:pPr>
        <w:contextualSpacing w:val="0"/>
        <w:rPr>
          <w:sz w:val="24"/>
          <w:szCs w:val="24"/>
        </w:rPr>
      </w:pPr>
    </w:p>
    <w:p w:rsidR="00500720" w:rsidRDefault="00500720">
      <w:pPr>
        <w:contextualSpacing w:val="0"/>
        <w:rPr>
          <w:sz w:val="24"/>
          <w:szCs w:val="24"/>
        </w:rPr>
      </w:pPr>
    </w:p>
    <w:p w:rsidR="00500720" w:rsidRDefault="00500720">
      <w:pPr>
        <w:contextualSpacing w:val="0"/>
        <w:rPr>
          <w:sz w:val="24"/>
          <w:szCs w:val="24"/>
        </w:rPr>
      </w:pPr>
    </w:p>
    <w:p w:rsidR="00500720" w:rsidRDefault="00500720">
      <w:pPr>
        <w:contextualSpacing w:val="0"/>
        <w:rPr>
          <w:sz w:val="24"/>
          <w:szCs w:val="24"/>
        </w:rPr>
      </w:pPr>
    </w:p>
    <w:p w:rsidR="00500720" w:rsidRDefault="00500720">
      <w:pPr>
        <w:contextualSpacing w:val="0"/>
        <w:rPr>
          <w:sz w:val="24"/>
          <w:szCs w:val="24"/>
        </w:rPr>
      </w:pP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DC5D6F" w:rsidRDefault="00DC5D6F">
      <w:pPr>
        <w:contextualSpacing w:val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500720" w:rsidRDefault="00C0013C">
      <w:pPr>
        <w:contextualSpacing w:val="0"/>
        <w:jc w:val="center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lastRenderedPageBreak/>
        <w:t>常用統編與公司抬頭</w:t>
      </w:r>
    </w:p>
    <w:p w:rsidR="00500720" w:rsidRDefault="00500720">
      <w:pPr>
        <w:contextualSpacing w:val="0"/>
        <w:rPr>
          <w:sz w:val="24"/>
          <w:szCs w:val="24"/>
        </w:rPr>
      </w:pPr>
    </w:p>
    <w:tbl>
      <w:tblPr>
        <w:tblStyle w:val="a5"/>
        <w:tblW w:w="901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0"/>
        <w:gridCol w:w="2775"/>
        <w:gridCol w:w="2040"/>
      </w:tblGrid>
      <w:tr w:rsidR="00500720">
        <w:trPr>
          <w:trHeight w:val="1000"/>
        </w:trPr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rFonts w:ascii="Arial Unicode MS" w:eastAsia="Arial Unicode MS" w:hAnsi="Arial Unicode MS" w:cs="Arial Unicode MS"/>
                <w:sz w:val="36"/>
                <w:szCs w:val="36"/>
              </w:rPr>
              <w:t>抬頭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rFonts w:ascii="Arial Unicode MS" w:eastAsia="Arial Unicode MS" w:hAnsi="Arial Unicode MS" w:cs="Arial Unicode MS"/>
                <w:sz w:val="36"/>
                <w:szCs w:val="36"/>
              </w:rPr>
              <w:t>統一編號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rFonts w:ascii="Arial Unicode MS" w:eastAsia="Arial Unicode MS" w:hAnsi="Arial Unicode MS" w:cs="Arial Unicode MS"/>
                <w:sz w:val="36"/>
                <w:szCs w:val="36"/>
              </w:rPr>
              <w:t>客戶編號</w:t>
            </w:r>
          </w:p>
        </w:tc>
      </w:tr>
      <w:tr w:rsidR="00500720">
        <w:trPr>
          <w:trHeight w:val="1080"/>
        </w:trPr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財團法人世界宗教博物館發展基金會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76948271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CA01</w:t>
            </w:r>
          </w:p>
        </w:tc>
      </w:tr>
      <w:tr w:rsidR="00500720">
        <w:trPr>
          <w:trHeight w:val="1080"/>
        </w:trPr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rFonts w:ascii="Arial Unicode MS" w:eastAsia="Arial Unicode MS" w:hAnsi="Arial Unicode MS" w:cs="Arial Unicode MS"/>
                <w:sz w:val="36"/>
                <w:szCs w:val="36"/>
              </w:rPr>
              <w:t>世界宗教博物館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81749630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CB01</w:t>
            </w:r>
          </w:p>
        </w:tc>
      </w:tr>
      <w:tr w:rsidR="00500720">
        <w:trPr>
          <w:trHeight w:val="1000"/>
        </w:trPr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>財團法人靈</w:t>
            </w:r>
            <w:proofErr w:type="gramStart"/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>鷲</w:t>
            </w:r>
            <w:proofErr w:type="gramEnd"/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>山佛教基金會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19996580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BA01</w:t>
            </w:r>
          </w:p>
        </w:tc>
        <w:bookmarkStart w:id="0" w:name="_GoBack"/>
        <w:bookmarkEnd w:id="0"/>
      </w:tr>
      <w:tr w:rsidR="00500720">
        <w:trPr>
          <w:trHeight w:val="1020"/>
        </w:trPr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2"/>
                <w:szCs w:val="32"/>
              </w:rPr>
            </w:pPr>
            <w:r>
              <w:rPr>
                <w:rFonts w:ascii="Arial Unicode MS" w:eastAsia="Arial Unicode MS" w:hAnsi="Arial Unicode MS" w:cs="Arial Unicode MS"/>
                <w:sz w:val="32"/>
                <w:szCs w:val="32"/>
              </w:rPr>
              <w:t>財團法人般若文教基金會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39551972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DA01</w:t>
            </w:r>
          </w:p>
        </w:tc>
      </w:tr>
      <w:tr w:rsidR="00500720">
        <w:trPr>
          <w:trHeight w:val="1020"/>
        </w:trPr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rFonts w:ascii="Arial Unicode MS" w:eastAsia="Arial Unicode MS" w:hAnsi="Arial Unicode MS" w:cs="Arial Unicode MS"/>
                <w:sz w:val="36"/>
                <w:szCs w:val="36"/>
              </w:rPr>
              <w:t>靈</w:t>
            </w:r>
            <w:proofErr w:type="gramStart"/>
            <w:r>
              <w:rPr>
                <w:rFonts w:ascii="Arial Unicode MS" w:eastAsia="Arial Unicode MS" w:hAnsi="Arial Unicode MS" w:cs="Arial Unicode MS"/>
                <w:sz w:val="36"/>
                <w:szCs w:val="36"/>
              </w:rPr>
              <w:t>鷲</w:t>
            </w:r>
            <w:proofErr w:type="gramEnd"/>
            <w:r>
              <w:rPr>
                <w:rFonts w:ascii="Arial Unicode MS" w:eastAsia="Arial Unicode MS" w:hAnsi="Arial Unicode MS" w:cs="Arial Unicode MS"/>
                <w:sz w:val="36"/>
                <w:szCs w:val="36"/>
              </w:rPr>
              <w:t>山無生道場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20000865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C001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AA01</w:t>
            </w:r>
          </w:p>
        </w:tc>
      </w:tr>
      <w:tr w:rsidR="00500720">
        <w:trPr>
          <w:trHeight w:val="960"/>
        </w:trPr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5007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5007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5007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sz w:val="24"/>
                <w:szCs w:val="24"/>
              </w:rPr>
            </w:pPr>
          </w:p>
        </w:tc>
      </w:tr>
      <w:tr w:rsidR="00500720">
        <w:trPr>
          <w:trHeight w:val="1140"/>
        </w:trPr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5007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5007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720" w:rsidRDefault="005007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sz w:val="24"/>
                <w:szCs w:val="24"/>
              </w:rPr>
            </w:pPr>
          </w:p>
        </w:tc>
      </w:tr>
    </w:tbl>
    <w:p w:rsidR="00500720" w:rsidRDefault="00500720">
      <w:pPr>
        <w:contextualSpacing w:val="0"/>
        <w:rPr>
          <w:sz w:val="24"/>
          <w:szCs w:val="24"/>
        </w:rPr>
      </w:pPr>
    </w:p>
    <w:sectPr w:rsidR="00500720">
      <w:footerReference w:type="default" r:id="rId18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175C" w:rsidRDefault="002C175C">
      <w:pPr>
        <w:spacing w:line="240" w:lineRule="auto"/>
      </w:pPr>
      <w:r>
        <w:separator/>
      </w:r>
    </w:p>
  </w:endnote>
  <w:endnote w:type="continuationSeparator" w:id="0">
    <w:p w:rsidR="002C175C" w:rsidRDefault="002C17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720" w:rsidRDefault="00C0013C">
    <w:pPr>
      <w:contextualSpacing w:val="0"/>
      <w:jc w:val="right"/>
    </w:pPr>
    <w:r>
      <w:fldChar w:fldCharType="begin"/>
    </w:r>
    <w:r>
      <w:instrText>PAGE</w:instrText>
    </w:r>
    <w:r>
      <w:fldChar w:fldCharType="separate"/>
    </w:r>
    <w:r w:rsidR="005D1069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175C" w:rsidRDefault="002C175C">
      <w:pPr>
        <w:spacing w:line="240" w:lineRule="auto"/>
      </w:pPr>
      <w:r>
        <w:separator/>
      </w:r>
    </w:p>
  </w:footnote>
  <w:footnote w:type="continuationSeparator" w:id="0">
    <w:p w:rsidR="002C175C" w:rsidRDefault="002C175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00720"/>
    <w:rsid w:val="001F398D"/>
    <w:rsid w:val="00286F3B"/>
    <w:rsid w:val="002C175C"/>
    <w:rsid w:val="004F0161"/>
    <w:rsid w:val="00500720"/>
    <w:rsid w:val="005D1069"/>
    <w:rsid w:val="006B0DE0"/>
    <w:rsid w:val="00744829"/>
    <w:rsid w:val="00C0013C"/>
    <w:rsid w:val="00DC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4E317"/>
  <w15:docId w15:val="{64CFCC76-9971-4090-B39B-BB602A63D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286F3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86F3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Gifts</cp:lastModifiedBy>
  <cp:revision>5</cp:revision>
  <cp:lastPrinted>2024-03-05T03:18:00Z</cp:lastPrinted>
  <dcterms:created xsi:type="dcterms:W3CDTF">2018-09-26T06:18:00Z</dcterms:created>
  <dcterms:modified xsi:type="dcterms:W3CDTF">2024-03-05T03:19:00Z</dcterms:modified>
</cp:coreProperties>
</file>