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2CF79" w14:textId="77777777" w:rsidR="008F73D0" w:rsidRPr="008F73D0" w:rsidRDefault="008F73D0" w:rsidP="008F73D0">
      <w:pPr>
        <w:spacing w:before="120" w:after="120" w:line="240" w:lineRule="auto"/>
        <w:outlineLvl w:val="1"/>
        <w:rPr>
          <w:rFonts w:ascii="Times New Roman" w:eastAsia="Times New Roman" w:hAnsi="Times New Roman" w:cs="Times New Roman"/>
          <w:b/>
          <w:bCs/>
          <w:color w:val="1F1F1F"/>
          <w:kern w:val="0"/>
          <w:sz w:val="28"/>
          <w:szCs w:val="28"/>
          <w14:ligatures w14:val="none"/>
        </w:rPr>
      </w:pPr>
      <w:r w:rsidRPr="008F73D0">
        <w:rPr>
          <w:rFonts w:ascii="Times New Roman" w:eastAsia="Times New Roman" w:hAnsi="Times New Roman" w:cs="Times New Roman"/>
          <w:b/>
          <w:bCs/>
          <w:color w:val="1F1F1F"/>
          <w:kern w:val="0"/>
          <w:sz w:val="28"/>
          <w:szCs w:val="28"/>
          <w14:ligatures w14:val="none"/>
        </w:rPr>
        <w:t>Governance Memo</w:t>
      </w:r>
    </w:p>
    <w:p w14:paraId="5CDE46C6" w14:textId="77777777" w:rsidR="008F73D0" w:rsidRPr="008F73D0" w:rsidRDefault="008F73D0" w:rsidP="008F73D0">
      <w:pPr>
        <w:spacing w:before="120" w:after="120" w:line="240" w:lineRule="auto"/>
        <w:rPr>
          <w:rFonts w:ascii="Times New Roman" w:eastAsia="Times New Roman" w:hAnsi="Times New Roman" w:cs="Times New Roman"/>
          <w:color w:val="1F1F1F"/>
          <w:kern w:val="0"/>
          <w:sz w:val="22"/>
          <w:szCs w:val="22"/>
          <w14:ligatures w14:val="none"/>
        </w:rPr>
      </w:pPr>
      <w:r w:rsidRPr="008F73D0">
        <w:rPr>
          <w:rFonts w:ascii="Times New Roman" w:eastAsia="Times New Roman" w:hAnsi="Times New Roman" w:cs="Times New Roman"/>
          <w:color w:val="1F1F1F"/>
          <w:kern w:val="0"/>
          <w:sz w:val="22"/>
          <w:szCs w:val="22"/>
          <w14:ligatures w14:val="none"/>
        </w:rPr>
        <w:t>To: Court Auditor</w:t>
      </w:r>
      <w:r w:rsidRPr="008F73D0">
        <w:rPr>
          <w:rFonts w:ascii="Times New Roman" w:eastAsia="Times New Roman" w:hAnsi="Times New Roman" w:cs="Times New Roman"/>
          <w:color w:val="1F1F1F"/>
          <w:kern w:val="0"/>
          <w:sz w:val="22"/>
          <w:szCs w:val="22"/>
          <w14:ligatures w14:val="none"/>
        </w:rPr>
        <w:br/>
        <w:t>Subject: Understanding the COMPAS Replacement Model </w:t>
      </w:r>
    </w:p>
    <w:p w14:paraId="564DF065" w14:textId="77777777" w:rsidR="008F73D0" w:rsidRPr="008F73D0" w:rsidRDefault="008F73D0" w:rsidP="008F73D0">
      <w:pPr>
        <w:spacing w:before="120" w:after="120" w:line="240" w:lineRule="auto"/>
        <w:rPr>
          <w:rFonts w:ascii="Times New Roman" w:eastAsia="Times New Roman" w:hAnsi="Times New Roman" w:cs="Times New Roman"/>
          <w:color w:val="1F1F1F"/>
          <w:kern w:val="0"/>
          <w:sz w:val="22"/>
          <w:szCs w:val="22"/>
          <w14:ligatures w14:val="none"/>
        </w:rPr>
      </w:pPr>
      <w:r w:rsidRPr="008F73D0">
        <w:rPr>
          <w:rFonts w:ascii="Times New Roman" w:eastAsia="Times New Roman" w:hAnsi="Times New Roman" w:cs="Times New Roman"/>
          <w:color w:val="1F1F1F"/>
          <w:kern w:val="0"/>
          <w:sz w:val="22"/>
          <w:szCs w:val="22"/>
          <w14:ligatures w14:val="none"/>
        </w:rPr>
        <w:t>In this analysis, I used SHAP, LIME, and counterfactual explanations to better understand how the model makes predictions. Each method gives a different perspective, and comparing them helps reveal both useful insights and potential risks.</w:t>
      </w:r>
    </w:p>
    <w:p w14:paraId="070C4410" w14:textId="77777777" w:rsidR="008F73D0" w:rsidRPr="008F73D0" w:rsidRDefault="008F73D0" w:rsidP="008F73D0">
      <w:pPr>
        <w:spacing w:before="120" w:after="120" w:line="240" w:lineRule="auto"/>
        <w:rPr>
          <w:rFonts w:ascii="Times New Roman" w:eastAsia="Times New Roman" w:hAnsi="Times New Roman" w:cs="Times New Roman"/>
          <w:color w:val="1F1F1F"/>
          <w:kern w:val="0"/>
          <w:sz w:val="22"/>
          <w:szCs w:val="22"/>
          <w14:ligatures w14:val="none"/>
        </w:rPr>
      </w:pPr>
      <w:r w:rsidRPr="008F73D0">
        <w:rPr>
          <w:rFonts w:ascii="Times New Roman" w:eastAsia="Times New Roman" w:hAnsi="Times New Roman" w:cs="Times New Roman"/>
          <w:color w:val="1F1F1F"/>
          <w:kern w:val="0"/>
          <w:sz w:val="22"/>
          <w:szCs w:val="22"/>
          <w14:ligatures w14:val="none"/>
        </w:rPr>
        <w:t>SHAP results show that features like prior offenses and age have the strongest impact on predictions. The beeswarm plot makes it clear that these features consistently drive risk scores across individuals. The waterfall plots also help explain specific cases by showing how each feature pushes the prediction higher or lower. This provides a clear and consistent view of how the model behaves overall and at the individual level.</w:t>
      </w:r>
    </w:p>
    <w:p w14:paraId="7C9BC677" w14:textId="77777777" w:rsidR="008F73D0" w:rsidRPr="008F73D0" w:rsidRDefault="008F73D0" w:rsidP="008F73D0">
      <w:pPr>
        <w:spacing w:before="120" w:after="120" w:line="240" w:lineRule="auto"/>
        <w:rPr>
          <w:rFonts w:ascii="Times New Roman" w:eastAsia="Times New Roman" w:hAnsi="Times New Roman" w:cs="Times New Roman"/>
          <w:color w:val="1F1F1F"/>
          <w:kern w:val="0"/>
          <w:sz w:val="22"/>
          <w:szCs w:val="22"/>
          <w14:ligatures w14:val="none"/>
        </w:rPr>
      </w:pPr>
      <w:r w:rsidRPr="008F73D0">
        <w:rPr>
          <w:rFonts w:ascii="Times New Roman" w:eastAsia="Times New Roman" w:hAnsi="Times New Roman" w:cs="Times New Roman"/>
          <w:color w:val="1F1F1F"/>
          <w:kern w:val="0"/>
          <w:sz w:val="22"/>
          <w:szCs w:val="22"/>
          <w14:ligatures w14:val="none"/>
        </w:rPr>
        <w:t>LIME provides local explanations as well, but the results do not always match SHAP. In some cases, LIME highlights different features or assigns different importance. This happens because LIME builds a simple local approximation, which can vary depending on the sampled data. This difference shows that explanations are not always stable and should be interpreted carefully, especially in high-stakes decisions like criminal justice.</w:t>
      </w:r>
    </w:p>
    <w:p w14:paraId="7F19CD52" w14:textId="77777777" w:rsidR="008F73D0" w:rsidRPr="008F73D0" w:rsidRDefault="008F73D0" w:rsidP="008F73D0">
      <w:pPr>
        <w:spacing w:before="120" w:after="120" w:line="240" w:lineRule="auto"/>
        <w:rPr>
          <w:rFonts w:ascii="Times New Roman" w:eastAsia="Times New Roman" w:hAnsi="Times New Roman" w:cs="Times New Roman"/>
          <w:color w:val="1F1F1F"/>
          <w:kern w:val="0"/>
          <w:sz w:val="22"/>
          <w:szCs w:val="22"/>
          <w14:ligatures w14:val="none"/>
        </w:rPr>
      </w:pPr>
      <w:r w:rsidRPr="008F73D0">
        <w:rPr>
          <w:rFonts w:ascii="Times New Roman" w:eastAsia="Times New Roman" w:hAnsi="Times New Roman" w:cs="Times New Roman"/>
          <w:color w:val="1F1F1F"/>
          <w:kern w:val="0"/>
          <w:sz w:val="22"/>
          <w:szCs w:val="22"/>
          <w14:ligatures w14:val="none"/>
        </w:rPr>
        <w:t>Counterfactual explanations are more actionable because they show what needs to change to flip a prediction. However, some suggested changes are not realistic, and in some cases may involve sensitive or immutable features. This raises concerns about fairness and whether the model is relying on proxy variables. It also highlights the importance of checking whether recommendations are practical and ethically appropriate.</w:t>
      </w:r>
    </w:p>
    <w:p w14:paraId="1BE6BA01" w14:textId="77777777" w:rsidR="008F73D0" w:rsidRPr="008F73D0" w:rsidRDefault="008F73D0" w:rsidP="008F73D0">
      <w:pPr>
        <w:spacing w:before="120" w:after="120" w:line="240" w:lineRule="auto"/>
        <w:rPr>
          <w:rFonts w:ascii="Times New Roman" w:eastAsia="Times New Roman" w:hAnsi="Times New Roman" w:cs="Times New Roman"/>
          <w:color w:val="1F1F1F"/>
          <w:kern w:val="0"/>
          <w:sz w:val="22"/>
          <w:szCs w:val="22"/>
          <w14:ligatures w14:val="none"/>
        </w:rPr>
      </w:pPr>
      <w:r w:rsidRPr="008F73D0">
        <w:rPr>
          <w:rFonts w:ascii="Times New Roman" w:eastAsia="Times New Roman" w:hAnsi="Times New Roman" w:cs="Times New Roman"/>
          <w:color w:val="1F1F1F"/>
          <w:kern w:val="0"/>
          <w:sz w:val="22"/>
          <w:szCs w:val="22"/>
          <w14:ligatures w14:val="none"/>
        </w:rPr>
        <w:t>Overall, these results show that transparency alone is not enough to build trust. Explanation methods should be used as diagnostic tools to identify problems in the model, not just to justify its decisions. Since each method has limitations, they should be used together to provide a more complete understanding.</w:t>
      </w:r>
    </w:p>
    <w:p w14:paraId="7D7A6B89" w14:textId="77777777" w:rsidR="008F73D0" w:rsidRPr="008F73D0" w:rsidRDefault="008F73D0" w:rsidP="008F73D0">
      <w:pPr>
        <w:spacing w:before="120" w:after="120" w:line="240" w:lineRule="auto"/>
        <w:rPr>
          <w:rFonts w:ascii="Times New Roman" w:eastAsia="Times New Roman" w:hAnsi="Times New Roman" w:cs="Times New Roman"/>
          <w:color w:val="1F1F1F"/>
          <w:kern w:val="0"/>
          <w:sz w:val="22"/>
          <w:szCs w:val="22"/>
          <w14:ligatures w14:val="none"/>
        </w:rPr>
      </w:pPr>
      <w:r w:rsidRPr="008F73D0">
        <w:rPr>
          <w:rFonts w:ascii="Times New Roman" w:eastAsia="Times New Roman" w:hAnsi="Times New Roman" w:cs="Times New Roman"/>
          <w:color w:val="1F1F1F"/>
          <w:kern w:val="0"/>
          <w:sz w:val="22"/>
          <w:szCs w:val="22"/>
          <w14:ligatures w14:val="none"/>
        </w:rPr>
        <w:t>For governance, I recommend regular monitoring of model behavior across different groups, careful review of sensitive features, and using explanation tools as part of an ongoing audit process. In addition, clear documentation and periodic model reviews should be implemented to ensure accountability and reduce the risk of unintended bias over time.</w:t>
      </w:r>
    </w:p>
    <w:p w14:paraId="255D9C88" w14:textId="24885DA5" w:rsidR="00874078" w:rsidRPr="00DC61B1" w:rsidRDefault="00874078" w:rsidP="00DC61B1"/>
    <w:sectPr w:rsidR="00874078" w:rsidRPr="00DC61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078"/>
    <w:rsid w:val="005647F7"/>
    <w:rsid w:val="00874078"/>
    <w:rsid w:val="008F73D0"/>
    <w:rsid w:val="00DC61B1"/>
  </w:rsids>
  <m:mathPr>
    <m:mathFont m:val="Cambria Math"/>
    <m:brkBin m:val="before"/>
    <m:brkBinSub m:val="--"/>
    <m:smallFrac m:val="0"/>
    <m:dispDef/>
    <m:lMargin m:val="0"/>
    <m:rMargin m:val="0"/>
    <m:defJc m:val="centerGroup"/>
    <m:wrapIndent m:val="1440"/>
    <m:intLim m:val="subSup"/>
    <m:naryLim m:val="undOvr"/>
  </m:mathPr>
  <w:themeFontLang w:val="en-TH" w:eastAsia="ja-JP" w:bidi="th-TH"/>
  <w:clrSchemeMapping w:bg1="light1" w:t1="dark1" w:bg2="light2" w:t2="dark2" w:accent1="accent1" w:accent2="accent2" w:accent3="accent3" w:accent4="accent4" w:accent5="accent5" w:accent6="accent6" w:hyperlink="hyperlink" w:followedHyperlink="followedHyperlink"/>
  <w:decimalSymbol w:val="."/>
  <w:listSeparator w:val=","/>
  <w14:docId w14:val="3D6B08BC"/>
  <w15:chartTrackingRefBased/>
  <w15:docId w15:val="{4870DC00-9BD6-DC4C-AC0E-115E1F31C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TH" w:eastAsia="ja-JP"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87407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87407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7407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740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0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07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87407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7407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740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0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078"/>
    <w:rPr>
      <w:rFonts w:eastAsiaTheme="majorEastAsia" w:cstheme="majorBidi"/>
      <w:color w:val="272727" w:themeColor="text1" w:themeTint="D8"/>
    </w:rPr>
  </w:style>
  <w:style w:type="paragraph" w:styleId="Title">
    <w:name w:val="Title"/>
    <w:basedOn w:val="Normal"/>
    <w:next w:val="Normal"/>
    <w:link w:val="TitleChar"/>
    <w:uiPriority w:val="10"/>
    <w:qFormat/>
    <w:rsid w:val="0087407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7407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7407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7407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74078"/>
    <w:pPr>
      <w:spacing w:before="160"/>
      <w:jc w:val="center"/>
    </w:pPr>
    <w:rPr>
      <w:i/>
      <w:iCs/>
      <w:color w:val="404040" w:themeColor="text1" w:themeTint="BF"/>
    </w:rPr>
  </w:style>
  <w:style w:type="character" w:customStyle="1" w:styleId="QuoteChar">
    <w:name w:val="Quote Char"/>
    <w:basedOn w:val="DefaultParagraphFont"/>
    <w:link w:val="Quote"/>
    <w:uiPriority w:val="29"/>
    <w:rsid w:val="00874078"/>
    <w:rPr>
      <w:rFonts w:cs="Angsana New"/>
      <w:i/>
      <w:iCs/>
      <w:color w:val="404040" w:themeColor="text1" w:themeTint="BF"/>
    </w:rPr>
  </w:style>
  <w:style w:type="paragraph" w:styleId="ListParagraph">
    <w:name w:val="List Paragraph"/>
    <w:basedOn w:val="Normal"/>
    <w:uiPriority w:val="34"/>
    <w:qFormat/>
    <w:rsid w:val="00874078"/>
    <w:pPr>
      <w:ind w:left="720"/>
      <w:contextualSpacing/>
    </w:pPr>
  </w:style>
  <w:style w:type="character" w:styleId="IntenseEmphasis">
    <w:name w:val="Intense Emphasis"/>
    <w:basedOn w:val="DefaultParagraphFont"/>
    <w:uiPriority w:val="21"/>
    <w:qFormat/>
    <w:rsid w:val="00874078"/>
    <w:rPr>
      <w:i/>
      <w:iCs/>
      <w:color w:val="0F4761" w:themeColor="accent1" w:themeShade="BF"/>
    </w:rPr>
  </w:style>
  <w:style w:type="paragraph" w:styleId="IntenseQuote">
    <w:name w:val="Intense Quote"/>
    <w:basedOn w:val="Normal"/>
    <w:next w:val="Normal"/>
    <w:link w:val="IntenseQuoteChar"/>
    <w:uiPriority w:val="30"/>
    <w:qFormat/>
    <w:rsid w:val="00874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078"/>
    <w:rPr>
      <w:rFonts w:cs="Angsana New"/>
      <w:i/>
      <w:iCs/>
      <w:color w:val="0F4761" w:themeColor="accent1" w:themeShade="BF"/>
    </w:rPr>
  </w:style>
  <w:style w:type="character" w:styleId="IntenseReference">
    <w:name w:val="Intense Reference"/>
    <w:basedOn w:val="DefaultParagraphFont"/>
    <w:uiPriority w:val="32"/>
    <w:qFormat/>
    <w:rsid w:val="00874078"/>
    <w:rPr>
      <w:b/>
      <w:bCs/>
      <w:smallCaps/>
      <w:color w:val="0F4761" w:themeColor="accent1" w:themeShade="BF"/>
      <w:spacing w:val="5"/>
    </w:rPr>
  </w:style>
  <w:style w:type="paragraph" w:styleId="NormalWeb">
    <w:name w:val="Normal (Web)"/>
    <w:basedOn w:val="Normal"/>
    <w:uiPriority w:val="99"/>
    <w:semiHidden/>
    <w:unhideWhenUsed/>
    <w:rsid w:val="00DC61B1"/>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customStyle="1" w:styleId="apple-converted-space">
    <w:name w:val="apple-converted-space"/>
    <w:basedOn w:val="DefaultParagraphFont"/>
    <w:rsid w:val="00DC61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340</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Natchapa Aunkay</dc:creator>
  <cp:keywords/>
  <dc:description/>
  <cp:lastModifiedBy>Natchapa Aunkay</cp:lastModifiedBy>
  <cp:revision>1</cp:revision>
  <dcterms:created xsi:type="dcterms:W3CDTF">2026-03-29T12:55:00Z</dcterms:created>
  <dcterms:modified xsi:type="dcterms:W3CDTF">2026-03-29T13:31:00Z</dcterms:modified>
</cp:coreProperties>
</file>