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b/>
          <w:bCs/>
          <w:color w:val="0B1526"/>
          <w:sz w:val="72"/>
          <w:szCs w:val="72"/>
        </w:rPr>
        <w:t xml:space="preserve">NAVIGATOR</w:t>
      </w:r>
    </w:p>
    <w:p>
      <w:pPr>
        <w:spacing w:after="80"/>
      </w:pPr>
      <w:r>
        <w:rPr>
          <w:i/>
          <w:iCs/>
          <w:color w:val="B8860B"/>
          <w:sz w:val="30"/>
          <w:szCs w:val="30"/>
        </w:rPr>
        <w:t xml:space="preserve">Walk into every appointment prepared.</w:t>
      </w:r>
    </w:p>
    <w:p>
      <w:pPr>
        <w:spacing w:after="0" w:before="360"/>
      </w:pPr>
      <w:r>
        <w:rPr>
          <w:color w:val="0F172A"/>
          <w:sz w:val="26"/>
          <w:szCs w:val="26"/>
        </w:rPr>
        <w:t xml:space="preserve">Product &amp; Engineering Proposal</w:t>
      </w:r>
    </w:p>
    <w:p>
      <w:pPr>
        <w:spacing w:after="0"/>
      </w:pPr>
      <w:r>
        <w:rPr>
          <w:color w:val="475569"/>
          <w:sz w:val="21"/>
          <w:szCs w:val="21"/>
        </w:rPr>
        <w:t xml:space="preserve">A local-first PWA for parents managing a child’s complex psychiatric care</w:t>
      </w:r>
    </w:p>
    <w:p>
      <w:pPr>
        <w:spacing w:after="0" w:before="1400"/>
      </w:pPr>
      <w:r>
        <w:rPr>
          <w:b/>
          <w:bCs/>
          <w:color w:val="059669"/>
          <w:sz w:val="22"/>
          <w:szCs w:val="22"/>
        </w:rPr>
        <w:t xml:space="preserve">Powered by NovaSapien Labs</w:t>
      </w:r>
    </w:p>
    <w:p>
      <w:r>
        <w:rPr>
          <w:color w:val="475569"/>
          <w:sz w:val="18"/>
          <w:szCs w:val="18"/>
        </w:rPr>
        <w:t xml:space="preserve">Internal stakeholder brief · 2026</w:t>
      </w:r>
    </w:p>
    <w:p>
      <w:r>
        <w:br w:type="page"/>
      </w:r>
    </w:p>
    <w:p>
      <w:pPr>
        <w:spacing w:after="120"/>
      </w:pPr>
      <w:r>
        <w:rPr>
          <w:b/>
          <w:bCs/>
          <w:color w:val="0B1526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40" w:line="276"/>
      </w:pPr>
      <w:r>
        <w:rPr>
          <w:b/>
          <w:bCs/>
        </w:rPr>
        <w:t xml:space="preserve">Navigator is a local-first progressive web app that helps a parent manage a child’s complex psychiatric care — ADHD, mood disorders, IEPs — and walk into every appointment with a clinical-grade report instead of a reconstruction from memory.</w:t>
      </w:r>
    </w:p>
    <w:p>
      <w:pPr>
        <w:spacing w:after="140" w:line="276"/>
      </w:pPr>
      <w:r>
        <w:t xml:space="preserve">The parent of a child on a multi-medication psychiatric regimen is, in effect, an unpaid case manager: tracking doses, school incidents, side effects, and provider relationships across five disconnected places, none designed for it. The average psychiatrist visit is fifteen minutes; the gap between visits is thirty to ninety days. Navigator closes that gap by turning everyday logging — done in seconds, often one-handed — into a structured 90-day clinical summary generated with a single tap.</w:t>
      </w:r>
    </w:p>
    <w:p>
      <w:pPr>
        <w:spacing w:after="140" w:line="276"/>
      </w:pPr>
      <w:r>
        <w:t xml:space="preserve">This brief documents what NovaSapien Labs has </w:t>
      </w:r>
      <w:r>
        <w:rPr>
          <w:b/>
          <w:bCs/>
        </w:rPr>
        <w:t xml:space="preserve">built and shipped</w:t>
      </w:r>
      <w:r>
        <w:t xml:space="preserve"> (Phase 1 MVP, production-hardened), the engineering posture that makes it trustworthy with sensitive health data, and the </w:t>
      </w:r>
      <w:r>
        <w:rPr>
          <w:b/>
          <w:bCs/>
        </w:rPr>
        <w:t xml:space="preserve">roadmap</w:t>
      </w:r>
      <w:r>
        <w:t xml:space="preserve"> from here. It is organized as Built → Building → Envisioned.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FCFB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59669"/>
                <w:sz w:val="36"/>
                <w:szCs w:val="36"/>
              </w:rPr>
              <w:t xml:space="preserve">15 min</w:t>
            </w:r>
          </w:p>
          <w:p>
            <w:r>
              <w:rPr>
                <w:color w:val="475569"/>
                <w:sz w:val="16"/>
                <w:szCs w:val="16"/>
              </w:rPr>
              <w:t xml:space="preserve">Average psychiatrist visit</w:t>
            </w:r>
          </w:p>
        </w:tc>
        <w:tc>
          <w:tcPr>
            <w:tcW w:type="dxa" w:w="234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FCFB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59669"/>
                <w:sz w:val="36"/>
                <w:szCs w:val="36"/>
              </w:rPr>
              <w:t xml:space="preserve">30–90 days</w:t>
            </w:r>
          </w:p>
          <w:p>
            <w:r>
              <w:rPr>
                <w:color w:val="475569"/>
                <w:sz w:val="16"/>
                <w:szCs w:val="16"/>
              </w:rPr>
              <w:t xml:space="preserve">Between every appointment</w:t>
            </w:r>
          </w:p>
        </w:tc>
        <w:tc>
          <w:tcPr>
            <w:tcW w:type="dxa" w:w="234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FCFB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59669"/>
                <w:sz w:val="36"/>
                <w:szCs w:val="36"/>
              </w:rPr>
              <w:t xml:space="preserve">150+</w:t>
            </w:r>
          </w:p>
          <w:p>
            <w:r>
              <w:rPr>
                <w:color w:val="475569"/>
                <w:sz w:val="16"/>
                <w:szCs w:val="16"/>
              </w:rPr>
              <w:t xml:space="preserve">Medications tracked</w:t>
            </w:r>
          </w:p>
        </w:tc>
        <w:tc>
          <w:tcPr>
            <w:tcW w:type="dxa" w:w="234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FCFB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59669"/>
                <w:sz w:val="36"/>
                <w:szCs w:val="36"/>
              </w:rPr>
              <w:t xml:space="preserve">1 tap</w:t>
            </w:r>
          </w:p>
          <w:p>
            <w:r>
              <w:rPr>
                <w:color w:val="475569"/>
                <w:sz w:val="16"/>
                <w:szCs w:val="16"/>
              </w:rPr>
              <w:t xml:space="preserve">To a 90-day report</w:t>
            </w:r>
          </w:p>
        </w:tc>
      </w:tr>
    </w:tbl>
    <w:p>
      <w:pPr>
        <w:spacing w:after="140" w:line="276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desktop-01-hero.png" descr="desktop-01-hero.png" title="desktop-01-he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 xml:space="preserve">Navigator landing surface — the product’s promise in one screen.</w:t>
      </w:r>
    </w:p>
    <w:p>
      <w:pPr>
        <w:pStyle w:val="Heading1"/>
      </w:pPr>
      <w:r>
        <w:t xml:space="preserve">2. The problem &amp; who it serves</w:t>
      </w:r>
    </w:p>
    <w:p>
      <w:pPr>
        <w:spacing w:after="140" w:line="276"/>
      </w:pPr>
      <w:r>
        <w:t xml:space="preserve">Nobody tells a parent they are about to become the case manager for their own child. </w:t>
      </w:r>
      <w:r>
        <w:t xml:space="preserve">The child’s story — what changed, when, and what it correlated with — ends up scattered across a pill organizer, a calendar, teacher emails, a notes app, and the parent’s memory.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15-minute appointments. </w:t>
      </w:r>
      <w:r>
        <w:t xml:space="preserve">Ninety days of life compressed into a vague verbal summary recalled from twelve sticky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30–90 day gaps. </w:t>
      </w:r>
      <w:r>
        <w:t xml:space="preserve">A lot happens — and is forgotten — between visits.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~70% of patterns missed. </w:t>
      </w:r>
      <w:r>
        <w:t xml:space="preserve">Wear-off windows, trigger clusters, and sleep–mood links go unseen without a system to surface them.</w:t>
      </w:r>
    </w:p>
    <w:p>
      <w:pPr>
        <w:spacing w:after="140" w:line="276"/>
      </w:pPr>
      <w:r>
        <w:rPr>
          <w:b/>
          <w:bCs/>
        </w:rPr>
        <w:t xml:space="preserve">Who it serves: </w:t>
      </w:r>
      <w:r>
        <w:t xml:space="preserve">the primary caregiver of a child with a complex, evolving psychiatric regimen — under sustained stress, logging in fragments, who needs to arrive at the next appointment prepared.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desktop-02-problem.png" descr="desktop-02-problem.png" title="desktop-02-pro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 xml:space="preserve">The problem, quantified — the cost of having no system.</w:t>
      </w:r>
    </w:p>
    <w:p>
      <w:pPr>
        <w:pStyle w:val="Heading1"/>
      </w:pPr>
      <w:r>
        <w:t xml:space="preserve">3. What we built — the product</w:t>
      </w:r>
    </w:p>
    <w:p>
      <w:pPr>
        <w:spacing w:after="140" w:line="276"/>
      </w:pPr>
      <w:r>
        <w:t xml:space="preserve">Phase 1 (MVP) is shipped and production-hardened. Navigator runs as two surfaces in one codebase: a public marketing site and an installable, auth-gated app shell.</w:t>
      </w:r>
    </w:p>
    <w:p>
      <w:pPr>
        <w:pStyle w:val="Heading2"/>
      </w:pPr>
      <w:r>
        <w:t xml:space="preserve">3.1 Medication tracker</w:t>
      </w:r>
    </w:p>
    <w:p>
      <w:pPr>
        <w:spacing w:after="140" w:line="276"/>
      </w:pPr>
      <w:r>
        <w:t xml:space="preserve">Most apps track a single stimulant. Navigator tracks 150+ medications across every major class — stimulants, non-stimulants, mood stabilizers, antipsychotics, SSRIs/SNRIs — and shows how concurrent regimens interact with each other and with daily life. Logging a dose outcome is a single tap and updates the UI in under 50 milliseconds, because every read and write is local.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desktop-03-tracker.png" descr="desktop-03-tracker.png" title="desktop-03-track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 xml:space="preserve">Medication tracker — concurrent regimens on one timeline.</w:t>
      </w:r>
    </w:p>
    <w:p>
      <w:pPr>
        <w:pStyle w:val="Heading2"/>
      </w:pPr>
      <w:r>
        <w:t xml:space="preserve">3.2 The clinical report</w:t>
      </w:r>
    </w:p>
    <w:p>
      <w:pPr>
        <w:spacing w:after="140" w:line="276"/>
      </w:pPr>
      <w:r>
        <w:t xml:space="preserve">Before each appointment, one tap generates a clean 90-day clinical summary: medication adherence, behavioral episodes, trigger patterns, school observations, and notable changes — each with a typed headline statistic and an honest “on track” or “review” signal derived directly from the logged data, never invented. It exports to PDF on-device and can be handed straight to a provider.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desktop-04-report.png" descr="desktop-04-report.png" title="desktop-04-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 xml:space="preserve">The 90-day clinical report — the product’s core promise.</w:t>
      </w:r>
    </w:p>
    <w:p>
      <w:pPr>
        <w:pStyle w:val="Heading2"/>
      </w:pPr>
      <w:r>
        <w:t xml:space="preserve">3.3 Capture, voice &amp; AI narrative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Fast logging. </w:t>
      </w:r>
      <w:r>
        <w:t xml:space="preserve">One-tap dose outcomes (taken / late / missed / refused), tagged observations, and an append-only event log that never loses or overwrites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Voice notes. </w:t>
      </w:r>
      <w:r>
        <w:t xml:space="preserve">Speak an observation; it is transcribed by a Whisper-backed function and stored as a structured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narrative. </w:t>
      </w:r>
      <w:r>
        <w:t xml:space="preserve">A Claude-backed function turns the structured report into a calm, clinician-fluent summary. Both AI features run behind server-side functions so provider keys never touch the device, and both degrade gracefully when unconfigured.</w:t>
      </w:r>
    </w:p>
    <w:p>
      <w:pPr>
        <w:pStyle w:val="Heading2"/>
      </w:pPr>
      <w:r>
        <w:t xml:space="preserve">3.4 Works everywhere, offline</w:t>
      </w:r>
    </w:p>
    <w:p>
      <w:pPr>
        <w:spacing w:after="140" w:line="276"/>
      </w:pPr>
      <w:r>
        <w:t xml:space="preserve">Navigator is an installable PWA. The data layer is fully on-device, so the app needs no network to function — a service worker keeps the shell available offline, and an update flow surfaces new versions without disrupting a logging session.</w:t>
      </w:r>
    </w:p>
    <w:p>
      <w:pPr>
        <w:pStyle w:val="Heading1"/>
      </w:pPr>
      <w:r>
        <w:t xml:space="preserve">4. Why Navigator is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0B1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636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0B1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30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Local-first</w:t>
            </w:r>
          </w:p>
        </w:tc>
        <w:tc>
          <w:tcPr>
            <w:tcW w:type="dxa" w:w="636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9"/>
                <w:szCs w:val="19"/>
              </w:rPr>
              <w:t xml:space="preserve">Every read and write hits an on-device database first. The interface never waits on the network; a dose log is instant. Sync is additive, not a dependency.</w:t>
            </w:r>
          </w:p>
        </w:tc>
      </w:tr>
      <w:tr>
        <w:tc>
          <w:tcPr>
            <w:tcW w:type="dxa" w:w="30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Privacy by architecture</w:t>
            </w:r>
          </w:p>
        </w:tc>
        <w:tc>
          <w:tcPr>
            <w:tcW w:type="dxa" w:w="636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9"/>
                <w:szCs w:val="19"/>
              </w:rPr>
              <w:t xml:space="preserve">The child’s data lives encrypted on the device before it ever leaves it. There is no server round-trip on the critical path, and AI requests are scoped, redacted, and excluded from training.</w:t>
            </w:r>
          </w:p>
        </w:tc>
      </w:tr>
      <w:tr>
        <w:tc>
          <w:tcPr>
            <w:tcW w:type="dxa" w:w="30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Clinical, not consumer</w:t>
            </w:r>
          </w:p>
        </w:tc>
        <w:tc>
          <w:tcPr>
            <w:tcW w:type="dxa" w:w="636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9"/>
                <w:szCs w:val="19"/>
              </w:rPr>
              <w:t xml:space="preserve">The report is the product. It is built to be read by a clinician in under a minute — specific, honest, and never fabricated.</w:t>
            </w:r>
          </w:p>
        </w:tc>
      </w:tr>
      <w:tr>
        <w:tc>
          <w:tcPr>
            <w:tcW w:type="dxa" w:w="30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Built for the hardest case</w:t>
            </w:r>
          </w:p>
        </w:tc>
        <w:tc>
          <w:tcPr>
            <w:tcW w:type="dxa" w:w="636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9"/>
                <w:szCs w:val="19"/>
              </w:rPr>
              <w:t xml:space="preserve">Concurrent multi-drug regimens, corrections without data loss, and a voice and tone designed for a stressed caregiver, not a marketing funnel.</w:t>
            </w:r>
          </w:p>
        </w:tc>
      </w:tr>
    </w:tbl>
    <w:p>
      <w:pPr>
        <w:spacing w:after="140" w:line="276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desktop-05-security.png" descr="desktop-05-security.png" title="desktop-05-secur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 xml:space="preserve">Security &amp; privacy posture, stated plainly for caregivers.</w:t>
      </w:r>
    </w:p>
    <w:p>
      <w:pPr>
        <w:pStyle w:val="Heading1"/>
      </w:pPr>
      <w:r>
        <w:t xml:space="preserve">5. Engineering posture</w:t>
      </w:r>
    </w:p>
    <w:p>
      <w:pPr>
        <w:spacing w:after="140" w:line="276"/>
      </w:pPr>
      <w:r>
        <w:t xml:space="preserve">Navigator is built to be trusted with sensitive pediatric health data. The architecture and process enforce that, rather than relying on discipline alone.</w:t>
      </w:r>
    </w:p>
    <w:p>
      <w:pPr>
        <w:pStyle w:val="Heading2"/>
      </w:pPr>
      <w:r>
        <w:t xml:space="preserve">5.1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0B1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shd w:fill="0B1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On-device database</w:t>
            </w:r>
          </w:p>
        </w:tc>
        <w:tc>
          <w:tcPr>
            <w:tcW w:type="dxa" w:w="636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9"/>
                <w:szCs w:val="19"/>
              </w:rPr>
              <w:t xml:space="preserve">PGlite — a WASM build of Postgres — persisted to the browser’s IndexedDB. Reactive reads keep the UI live.</w:t>
            </w:r>
          </w:p>
        </w:tc>
      </w:tr>
      <w:tr>
        <w:tc>
          <w:tcPr>
            <w:tcW w:type="dxa" w:w="30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Event sourcing</w:t>
            </w:r>
          </w:p>
        </w:tc>
        <w:tc>
          <w:tcPr>
            <w:tcW w:type="dxa" w:w="636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9"/>
                <w:szCs w:val="19"/>
              </w:rPr>
              <w:t xml:space="preserve">The log is append-only. Edits are expressed as correction events; the final state is a projection. Nothing is ever silently overwritten — enforced at the database with hard triggers.</w:t>
            </w:r>
          </w:p>
        </w:tc>
      </w:tr>
      <w:tr>
        <w:tc>
          <w:tcPr>
            <w:tcW w:type="dxa" w:w="30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Server boundary</w:t>
            </w:r>
          </w:p>
        </w:tc>
        <w:tc>
          <w:tcPr>
            <w:tcW w:type="dxa" w:w="636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9"/>
                <w:szCs w:val="19"/>
              </w:rPr>
              <w:t xml:space="preserve">Authentication, cross-device sync, and AI run behind a server boundary with row-level security on every table. Service-role keys never reach the client.</w:t>
            </w:r>
          </w:p>
        </w:tc>
      </w:tr>
      <w:tr>
        <w:tc>
          <w:tcPr>
            <w:tcW w:type="dxa" w:w="300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One design system</w:t>
            </w:r>
          </w:p>
        </w:tc>
        <w:tc>
          <w:tcPr>
            <w:tcW w:type="dxa" w:w="6360"/>
            <w:tcBorders>
              <w:top w:val="single" w:color="E2E0D8" w:sz="1"/>
              <w:left w:val="single" w:color="E2E0D8" w:sz="1"/>
              <w:bottom w:val="single" w:color="E2E0D8" w:sz="1"/>
              <w:right w:val="single" w:color="E2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9"/>
                <w:szCs w:val="19"/>
              </w:rPr>
              <w:t xml:space="preserve">Every color, type size, and spacing value comes from a single token source, enforced by lint rules — so the product stays visually coherent as it grows.</w:t>
            </w:r>
          </w:p>
        </w:tc>
      </w:tr>
    </w:tbl>
    <w:p>
      <w:pPr>
        <w:pStyle w:val="Heading2"/>
      </w:pPr>
      <w:r>
        <w:t xml:space="preserve">5.2 Quality &amp; hardening</w:t>
      </w:r>
    </w:p>
    <w:p>
      <w:pPr>
        <w:spacing w:after="140" w:line="276"/>
      </w:pPr>
      <w:r>
        <w:t xml:space="preserve">Beyond the MVP feature set, Navigator went through a structured hardening pass across security, data integrity, accessibility, performance, and responsiveness: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Security. </w:t>
      </w:r>
      <w:r>
        <w:t xml:space="preserve">Content-Security-Policy and standard hardening headers, authorization on server functions, row-level security scoped to the owner, and PII redaction in logging.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Accessibility. </w:t>
      </w:r>
      <w:r>
        <w:t xml:space="preserve">WCAG AA targets: visible focus rings, 44px tap targets, status never communicated by color alone, focus trapping in dialogs, restored pinch-zoom.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Performance. </w:t>
      </w:r>
      <w:r>
        <w:t xml:space="preserve">The primary route’s initial JavaScript was reduced to under the 250 KB budget; the on-device database loads off the critical path with a single calm loading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Responsive. </w:t>
      </w:r>
      <w:r>
        <w:t xml:space="preserve">A fluid type scale, codified breakpoints, a reading-width measure, and safe-area handling carry the experience from a 320px phone to a 1920px display.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Verification. </w:t>
      </w:r>
      <w:r>
        <w:t xml:space="preserve">A continuous-integration gate runs typecheck, lint (including design-token and voice rules), unit tests, end-to-end tests, and a production build on every change. The report engine and database migrations are covered by required tests.</w:t>
      </w:r>
    </w:p>
    <w:p>
      <w:pPr>
        <w:pStyle w:val="Heading2"/>
      </w:pPr>
      <w:r>
        <w:t xml:space="preserve">5.3 The product on a phone</w:t>
      </w:r>
    </w:p>
    <w:p>
      <w:pPr>
        <w:spacing w:after="140" w:line="276"/>
      </w:pPr>
      <w:r>
        <w:t xml:space="preserve">The same surface adapts intact to mobile — an accessible menu, cleanly stacked actions, and no horizontal overflow at any width.</w:t>
      </w:r>
    </w:p>
    <w:p>
      <w:pPr>
        <w:spacing w:after="60" w:before="120"/>
        <w:jc w:val="center"/>
      </w:pPr>
      <w:r>
        <w:drawing>
          <wp:inline distT="0" distB="0" distL="0" distR="0">
            <wp:extent cx="2286000" cy="4943475"/>
            <wp:effectExtent t="0" r="0" b="0" l="0"/>
            <wp:docPr id="1" name="mobile-01-hero.png" descr="mobile-01-hero.png" title="mobile-01-he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 xml:space="preserve">Navigator on a 390px phone — installable, offline-capable, one-handed.</w:t>
      </w:r>
    </w:p>
    <w:p>
      <w:pPr>
        <w:pStyle w:val="Heading1"/>
      </w:pPr>
      <w:r>
        <w:t xml:space="preserve">6. Roadmap — built, building, envisioned</w:t>
      </w:r>
    </w:p>
    <w:p>
      <w:pPr>
        <w:pStyle w:val="Heading2"/>
      </w:pPr>
      <w:r>
        <w:t xml:space="preserve">Built (Phase 1 — shipped)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Passwordless auth with graceful local-only mode.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On-device database, reactive reads, one-tap logging, append-only event log.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Today, timeline, report, prep, patterns, settings, and a guided onboarding 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notes, AI narrative, PDF export, PWA install, waitlist + sign-in.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Security, accessibility, performance, and responsive hardening with a full CI gate.</w:t>
      </w:r>
    </w:p>
    <w:p>
      <w:pPr>
        <w:pStyle w:val="Heading2"/>
      </w:pPr>
      <w:r>
        <w:t xml:space="preserve">Building (Phase 2 — next)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Cross-device sync. </w:t>
      </w:r>
      <w:r>
        <w:t xml:space="preserve">Wire the already-defined sync interface so a regimen follows the caregiver across devices.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Co-parent sharing. </w:t>
      </w:r>
      <w:r>
        <w:t xml:space="preserve">Invite flow and per-row attribution for who logged what.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Pattern detection. </w:t>
      </w:r>
      <w:r>
        <w:t xml:space="preserve">Surface correlations — ‘this happened around this dose adjustment.’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Push reminders. </w:t>
      </w:r>
      <w:r>
        <w:t xml:space="preserve">Dose reminders at scheduled times.</w:t>
      </w:r>
    </w:p>
    <w:p>
      <w:pPr>
        <w:pStyle w:val="Heading2"/>
      </w:pPr>
      <w:r>
        <w:t xml:space="preserve">Envisioned (Phase 3 — beyond the parent)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Clinician portal. </w:t>
      </w:r>
      <w:r>
        <w:t xml:space="preserve">Read-only, time-limited share links for providers.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Payer-grade exports. </w:t>
      </w:r>
      <w:r>
        <w:t xml:space="preserve">Report formatting that matches insurance and IEP paperwork.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IEP document parsing. </w:t>
      </w:r>
      <w:r>
        <w:t xml:space="preserve">Drop in a PDF; extract goals and 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Additional sign-in. </w:t>
      </w:r>
      <w:r>
        <w:t xml:space="preserve">Google OAuth alongside the passwordless flow.</w:t>
      </w:r>
    </w:p>
    <w:p>
      <w:pPr>
        <w:pStyle w:val="Heading1"/>
      </w:pPr>
      <w:r>
        <w:t xml:space="preserve">7. Summary &amp; next steps</w:t>
      </w:r>
    </w:p>
    <w:p>
      <w:pPr>
        <w:spacing w:after="140" w:line="276"/>
      </w:pPr>
      <w:r>
        <w:t xml:space="preserve">Navigator’s Phase 1 is shipped, hardened, and verified. The product demonstrates that NovaSapien Labs can take a genuinely hard problem — the invisible labor of managing a child’s psychiatric care — and deliver a private, fast, clinical-grade tool that a stressed parent can actually use. The architecture is built so that Phase 2 (sync, co-parent, patterns) and Phase 3 (clinician and payer reach) extend the same foundation rather than rebuild it.</w:t>
      </w:r>
    </w:p>
    <w:p>
      <w:pPr>
        <w:spacing w:after="140" w:line="276"/>
      </w:pPr>
      <w:r>
        <w:rPr>
          <w:b/>
          <w:bCs/>
        </w:rPr>
        <w:t xml:space="preserve">Recommended next steps: </w:t>
      </w:r>
      <w:r>
        <w:t xml:space="preserve">open the closed beta to the first cohort of families, wire cross-device sync, and begin clinician discovery for the read-only portal.</w:t>
      </w:r>
    </w:p>
    <w:p>
      <w:pPr>
        <w:spacing w:after="140" w:line="276"/>
      </w:pPr>
      <w:r>
        <w:rPr>
          <w:b/>
          <w:bCs/>
          <w:color w:val="059669"/>
        </w:rPr>
        <w:t xml:space="preserve">Navigator — Powered by NovaSapien Labs.</w:t>
      </w:r>
    </w:p>
    <w:p>
      <w:pPr>
        <w:spacing w:after="140" w:line="276"/>
      </w:pPr>
      <w:r>
        <w:rPr>
          <w:i/>
          <w:iCs/>
          <w:color w:val="475569"/>
          <w:sz w:val="16"/>
          <w:szCs w:val="16"/>
        </w:rPr>
        <w:t xml:space="preserve">Navigator does not diagnose, prescribe, or treat. For clinical decisions, always consult your child’s provider.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475569"/>
        <w:sz w:val="16"/>
        <w:szCs w:val="16"/>
      </w:rPr>
      <w:t xml:space="preserve">Confidential · internal</w:t>
    </w:r>
    <w:r>
      <w:rPr>
        <w:color w:val="475569"/>
        <w:sz w:val="16"/>
        <w:szCs w:val="16"/>
      </w:rPr>
      <w:t xml:space="preserve">	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75569"/>
        <w:sz w:val="16"/>
        <w:szCs w:val="16"/>
      </w:rPr>
      <w:t xml:space="preserve">Navigator — Powered by NovaSapien Labs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0B152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0596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97976ea3e8951d3aaeed6296f4e41cb0817861e.png"/><Relationship Id="rId10" Type="http://schemas.openxmlformats.org/officeDocument/2006/relationships/image" Target="media/c52c19e3224dc5a9c0e598ee593c3793c7be0663.png"/><Relationship Id="rId11" Type="http://schemas.openxmlformats.org/officeDocument/2006/relationships/image" Target="media/44898ea7870b0ce51880ab464ffd1d90c881d912.png"/><Relationship Id="rId12" Type="http://schemas.openxmlformats.org/officeDocument/2006/relationships/image" Target="media/dc86fc85faa1447db3dee28a10f3156e2448ade2.png"/><Relationship Id="rId13" Type="http://schemas.openxmlformats.org/officeDocument/2006/relationships/image" Target="media/97503396f759e231c9d433903148aebcf7a597f2.png"/><Relationship Id="rId14" Type="http://schemas.openxmlformats.org/officeDocument/2006/relationships/image" Target="media/8c99b28dab8b77da40ca927105ceabc2e99a9c0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Navigator — Product &amp; Engineering Proposal</dc:title>
  <dc:creator>NovaSapien Labs</dc:creator>
  <cp:lastModifiedBy>Un-named</cp:lastModifiedBy>
  <cp:revision>1</cp:revision>
  <dcterms:created xsi:type="dcterms:W3CDTF">2026-06-03T08:47:48.972Z</dcterms:created>
  <dcterms:modified xsi:type="dcterms:W3CDTF">2026-06-03T08:47:48.974Z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