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/>
          <w:color w:val="5A3921"/>
          <w:sz w:val="16"/>
        </w:rPr>
        <w:t>GLOBAL SUPERSTORE  |  BOARD OF DIRECTORS EXECUTIVE BRIEFING</w:t>
      </w:r>
    </w:p>
    <w:p>
      <w:pPr>
        <w:spacing w:before="20" w:after="20"/>
      </w:pPr>
      <w:r>
        <w:rPr>
          <w:rFonts w:ascii="Georgia" w:hAnsi="Georgia"/>
          <w:b/>
          <w:color w:val="322014"/>
          <w:sz w:val="30"/>
        </w:rPr>
        <w:t>The Revival Strategy: Operational Profit Turnaround</w:t>
      </w:r>
    </w:p>
    <w:p>
      <w:pPr>
        <w:spacing w:before="0" w:after="60"/>
      </w:pPr>
      <w:r>
        <w:rPr>
          <w:rFonts w:ascii="Arial" w:hAnsi="Arial"/>
          <w:color w:val="64748B"/>
          <w:sz w:val="14"/>
        </w:rPr>
        <w:t>Audience: Board of Directors  •  Lead: Chief Strategy Officer  •  Horizon: FY2015 Execution  •  Data: 51,290 Order 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EFEEE8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left w:val="single" w:sz="20" w:space="0" w:color="5A3921"/>
              <w:top w:val="none"/>
              <w:right w:val="none"/>
              <w:bottom w:val="none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5A3921"/>
                <w:sz w:val="15"/>
              </w:rPr>
              <w:t xml:space="preserve">EXECUTIVE TAKEAWAY &amp; STRATEGIC THESIS: </w:t>
            </w:r>
            <w:r>
              <w:rPr>
                <w:rFonts w:ascii="Calibri" w:hAnsi="Calibri"/>
                <w:color w:val="1E293B"/>
                <w:sz w:val="16"/>
              </w:rPr>
              <w:t>Global Superstore does not have a top-line growth crisis; it has an operational profit-leakage failure. Across FY2011–FY2014, revenue expanded +90.3% ($2.26M to $4.30M, 23.9% CAGR) and operating profit doubled ($249K to $504K). However, operating margin stagnated at 11.6% because 24.5% of all transactions (12,544 lines) sold at negative margins, destroying -$920,646 in operating capital. Programmatic pricing controls, channel restructuring, and freight recovery recapture +$1.23M in EBITDA (+84.1% expansion to $2.70M at 19.9% margin) on existing sales run-rate.</w:t>
            </w:r>
          </w:p>
        </w:tc>
      </w:tr>
    </w:tbl>
    <w:p>
      <w:pPr>
        <w:spacing w:before="6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F6F2EA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C5A68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322014"/>
                <w:sz w:val="22"/>
              </w:rPr>
              <w:t>$4.30M</w:t>
              <w:br/>
            </w:r>
            <w:r>
              <w:rPr>
                <w:rFonts w:ascii="Arial" w:hAnsi="Arial"/>
                <w:b/>
                <w:color w:val="322014"/>
                <w:sz w:val="14"/>
              </w:rPr>
              <w:t>FY2014 Invoiced Sales</w:t>
              <w:br/>
            </w:r>
            <w:r>
              <w:rPr>
                <w:rFonts w:ascii="Arial" w:hAnsi="Arial"/>
                <w:color w:val="64748B"/>
                <w:sz w:val="13"/>
              </w:rPr>
              <w:t>+90.3% Growth (23.9% CAGR)</w:t>
            </w:r>
          </w:p>
        </w:tc>
        <w:tc>
          <w:tcPr>
            <w:tcW w:type="dxa" w:w="2736"/>
            <w:shd w:fill="F6F2EA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C5A68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5A3921"/>
                <w:sz w:val="22"/>
              </w:rPr>
              <w:t>11.6%</w:t>
              <w:br/>
            </w:r>
            <w:r>
              <w:rPr>
                <w:rFonts w:ascii="Arial" w:hAnsi="Arial"/>
                <w:b/>
                <w:color w:val="322014"/>
                <w:sz w:val="14"/>
              </w:rPr>
              <w:t>4-Yr Blended Margin</w:t>
              <w:br/>
            </w:r>
            <w:r>
              <w:rPr>
                <w:rFonts w:ascii="Arial" w:hAnsi="Arial"/>
                <w:color w:val="64748B"/>
                <w:sz w:val="13"/>
              </w:rPr>
              <w:t>Stagnant (Range: 11.0%–11.9%)</w:t>
            </w:r>
          </w:p>
        </w:tc>
        <w:tc>
          <w:tcPr>
            <w:tcW w:type="dxa" w:w="2736"/>
            <w:shd w:fill="FDF2F2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C5A68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A22727"/>
                <w:sz w:val="22"/>
              </w:rPr>
              <w:t>-$920,646</w:t>
              <w:br/>
            </w:r>
            <w:r>
              <w:rPr>
                <w:rFonts w:ascii="Arial" w:hAnsi="Arial"/>
                <w:b/>
                <w:color w:val="322014"/>
                <w:sz w:val="14"/>
              </w:rPr>
              <w:t>Profit Destroyed</w:t>
              <w:br/>
            </w:r>
            <w:r>
              <w:rPr>
                <w:rFonts w:ascii="Arial" w:hAnsi="Arial"/>
                <w:color w:val="64748B"/>
                <w:sz w:val="13"/>
              </w:rPr>
              <w:t>12,544 Deficit Lines (24.5%)</w:t>
            </w:r>
          </w:p>
        </w:tc>
        <w:tc>
          <w:tcPr>
            <w:tcW w:type="dxa" w:w="2736"/>
            <w:shd w:fill="ECFDF5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C5A68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059669"/>
                <w:sz w:val="22"/>
              </w:rPr>
              <w:t>+$1,233,804</w:t>
              <w:br/>
            </w:r>
            <w:r>
              <w:rPr>
                <w:rFonts w:ascii="Arial" w:hAnsi="Arial"/>
                <w:b/>
                <w:color w:val="322014"/>
                <w:sz w:val="14"/>
              </w:rPr>
              <w:t>Recoverable EBITDA</w:t>
              <w:br/>
            </w:r>
            <w:r>
              <w:rPr>
                <w:rFonts w:ascii="Arial" w:hAnsi="Arial"/>
                <w:color w:val="64748B"/>
                <w:sz w:val="13"/>
              </w:rPr>
              <w:t>+84.1% Uplift (to 19.9% Margin)</w:t>
            </w:r>
          </w:p>
        </w:tc>
      </w:tr>
    </w:tbl>
    <w:p>
      <w:pPr>
        <w:spacing w:before="80" w:after="20"/>
      </w:pPr>
      <w:r>
        <w:rPr>
          <w:rFonts w:ascii="Georgia" w:hAnsi="Georgia"/>
          <w:b/>
          <w:color w:val="322014"/>
          <w:sz w:val="18"/>
        </w:rPr>
        <w:t>1. EMPIRICAL FORENSIC DIAGNOSTIC: THREE CORE ROOT CAUSES</w:t>
      </w:r>
    </w:p>
    <w:p>
      <w:pPr>
        <w:spacing w:before="20" w:after="20"/>
        <w:ind w:left="173"/>
      </w:pPr>
      <w:r>
        <w:rPr>
          <w:rFonts w:ascii="Calibri" w:hAnsi="Calibri"/>
          <w:b/>
          <w:color w:val="5A3921"/>
          <w:sz w:val="15"/>
        </w:rPr>
        <w:t>•  The 20% Discount Inversion Cliff:</w:t>
      </w:r>
      <w:r>
        <w:rPr>
          <w:rFonts w:ascii="Calibri" w:hAnsi="Calibri"/>
          <w:color w:val="1E293B"/>
          <w:sz w:val="15"/>
        </w:rPr>
        <w:t xml:space="preserve"> Pre-discount product gross margin is 25%–30%. Concessions ≤20% preserve positive margins (+9.9% to +25.3%). Beyond 20%, margins invert into severe deficits (-5.5% at 20–30%, -23.7% at 30–40%, -45.3% at 40–50%, -111.0% past 50%), destroying -$814,682 in profit across 11,328 lines (22.1% of volume). ERP systems lack discount validation hurdles, permitting unchecked cuts up to 70%.</w:t>
      </w:r>
    </w:p>
    <w:p>
      <w:pPr>
        <w:spacing w:before="20" w:after="20"/>
        <w:ind w:left="173"/>
      </w:pPr>
      <w:r>
        <w:rPr>
          <w:rFonts w:ascii="Calibri" w:hAnsi="Calibri"/>
          <w:b/>
          <w:color w:val="5A3921"/>
          <w:sz w:val="15"/>
        </w:rPr>
        <w:t>•  Sovereign Deficit Concentration (The Country Loss Trap):</w:t>
      </w:r>
      <w:r>
        <w:rPr>
          <w:rFonts w:ascii="Calibri" w:hAnsi="Calibri"/>
          <w:color w:val="1E293B"/>
          <w:sz w:val="15"/>
        </w:rPr>
        <w:t xml:space="preserve"> While 29 of 147 sovereign territories lose money, losses are hyper-concentrated: four countries (Turkey -$98.4K, Nigeria -$80.8K, Netherlands -$41.1K, Honduras -$29.5K) account for 56% of all sovereign losses ($250K). In Turkey and Nigeria, reps granted 60%–70% average discounts while the corporate center absorbed cross-border logistics and tariffs in volatile currency environments without local billing adjustments.</w:t>
      </w:r>
    </w:p>
    <w:p>
      <w:pPr>
        <w:spacing w:before="20" w:after="20"/>
        <w:ind w:left="173"/>
      </w:pPr>
      <w:r>
        <w:rPr>
          <w:rFonts w:ascii="Calibri" w:hAnsi="Calibri"/>
          <w:b/>
          <w:color w:val="5A3921"/>
          <w:sz w:val="15"/>
        </w:rPr>
        <w:t>•  Bulky Merchandise Cost-to-Serve (The Tables Anomaly):</w:t>
      </w:r>
      <w:r>
        <w:rPr>
          <w:rFonts w:ascii="Calibri" w:hAnsi="Calibri"/>
          <w:color w:val="1E293B"/>
          <w:sz w:val="15"/>
        </w:rPr>
        <w:t xml:space="preserve"> 16 of 17 merchandise sub-categories are highly profitable (Copiers +$259K, Phones +$217K). Tables is the sole net deficit line (-$64,083 loss on $757K sales, -8.5% margin), carrying a 29.1% average discount combined with the highest freight cost ($25.90/unit). Expedited delivery tiers (Critical priority: 23.8% freight-to-sales ratio; Same Day: 17.4%) absorb double Standard Class freight (8.1%), but were provided without freight recovery fees.</w:t>
      </w:r>
    </w:p>
    <w:p>
      <w:pPr>
        <w:spacing w:before="60" w:after="20"/>
      </w:pPr>
      <w:r>
        <w:rPr>
          <w:rFonts w:ascii="Georgia" w:hAnsi="Georgia"/>
          <w:b/>
          <w:color w:val="322014"/>
          <w:sz w:val="18"/>
        </w:rPr>
        <w:t>2. THE REVIVAL STRATEGY: THREE PRIORITIZED TURNAROUND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752"/>
        <w:gridCol w:w="1728"/>
        <w:gridCol w:w="1296"/>
        <w:gridCol w:w="1440"/>
      </w:tblGrid>
      <w:tr>
        <w:tc>
          <w:tcPr>
            <w:tcW w:type="dxa" w:w="2189"/>
            <w:shd w:fill="3220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Turnaround Lever</w:t>
            </w:r>
          </w:p>
        </w:tc>
        <w:tc>
          <w:tcPr>
            <w:tcW w:type="dxa" w:w="2189"/>
            <w:shd w:fill="3220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Governance Policy &amp; Execution Mechanism</w:t>
            </w:r>
          </w:p>
        </w:tc>
        <w:tc>
          <w:tcPr>
            <w:tcW w:type="dxa" w:w="2189"/>
            <w:shd w:fill="3220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Executive Owner</w:t>
            </w:r>
          </w:p>
        </w:tc>
        <w:tc>
          <w:tcPr>
            <w:tcW w:type="dxa" w:w="2189"/>
            <w:shd w:fill="3220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Timeline</w:t>
            </w:r>
          </w:p>
        </w:tc>
        <w:tc>
          <w:tcPr>
            <w:tcW w:type="dxa" w:w="2189"/>
            <w:shd w:fill="3220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4"/>
              </w:rPr>
              <w:t>EBITDA Uplift</w:t>
            </w:r>
          </w:p>
        </w:tc>
      </w:tr>
      <w:tr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Pillar 1: Pricing Governance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Hardcode automated 20.0% discount ceiling into ERP order entry pipeline. Mandate VP Commercial sign-off for concessions between 15%–20%. Replace revenue commissions with contribution margin incentives.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Chief Commercial Officer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Months 1–3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4"/>
              </w:rPr>
              <w:t>+$1,032,488</w:t>
            </w:r>
          </w:p>
        </w:tc>
      </w:tr>
      <w:tr>
        <w:tc>
          <w:tcPr>
            <w:tcW w:type="dxa" w:w="2189"/>
            <w:shd w:fill="FFFFFF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Pillar 2: Channel Restructuring</w:t>
            </w:r>
          </w:p>
        </w:tc>
        <w:tc>
          <w:tcPr>
            <w:tcW w:type="dxa" w:w="2189"/>
            <w:shd w:fill="FFFFFF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Transition direct sales in Turkey and Nigeria to master distributor / 3PL licensing agreements. Shift freight, inventory, and cross-border currency tariff exposure to local operating partners.</w:t>
            </w:r>
          </w:p>
        </w:tc>
        <w:tc>
          <w:tcPr>
            <w:tcW w:type="dxa" w:w="2189"/>
            <w:shd w:fill="FFFFFF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VP International &amp; Logistics</w:t>
            </w:r>
          </w:p>
        </w:tc>
        <w:tc>
          <w:tcPr>
            <w:tcW w:type="dxa" w:w="2189"/>
            <w:shd w:fill="FFFFFF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Months 3–6</w:t>
            </w:r>
          </w:p>
        </w:tc>
        <w:tc>
          <w:tcPr>
            <w:tcW w:type="dxa" w:w="2189"/>
            <w:shd w:fill="FFFFFF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4"/>
              </w:rPr>
              <w:t>+$179,198</w:t>
            </w:r>
          </w:p>
        </w:tc>
      </w:tr>
      <w:tr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Pillar 3: Freight Surcharges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Institute mandatory $15/unit dimensional freight fee on Tables. Pass through carrier surcharges on expedited shipping (Same Day / First Class). Terminate free shipping on orders below $250.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VP Supply Chain &amp; Operations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sz w:val="14"/>
              </w:rPr>
              <w:t>Months 2–4</w:t>
            </w:r>
          </w:p>
        </w:tc>
        <w:tc>
          <w:tcPr>
            <w:tcW w:type="dxa" w:w="2189"/>
            <w:shd w:fill="F6F2EA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4"/>
              </w:rPr>
              <w:t>+$46,245</w:t>
            </w:r>
          </w:p>
        </w:tc>
      </w:tr>
      <w:tr>
        <w:tc>
          <w:tcPr>
            <w:tcW w:type="dxa" w:w="2189"/>
            <w:shd w:fill="ECFDF5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Base-Case Net EBITDA Bridge</w:t>
            </w:r>
          </w:p>
        </w:tc>
        <w:tc>
          <w:tcPr>
            <w:tcW w:type="dxa" w:w="2189"/>
            <w:shd w:fill="ECFDF5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Gross operational recovery: +$1,257,931. Net of 5% conservative customer attrition friction drag (-$24,128). Expands blended operating margin from 11.6% to 19.9% ($2.70M projected profit).</w:t>
            </w:r>
          </w:p>
        </w:tc>
        <w:tc>
          <w:tcPr>
            <w:tcW w:type="dxa" w:w="2189"/>
            <w:shd w:fill="ECFDF5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CFO &amp; Turnaround Committee</w:t>
            </w:r>
          </w:p>
        </w:tc>
        <w:tc>
          <w:tcPr>
            <w:tcW w:type="dxa" w:w="2189"/>
            <w:shd w:fill="ECFDF5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14"/>
              </w:rPr>
              <w:t>Full Run-Rate</w:t>
            </w:r>
          </w:p>
        </w:tc>
        <w:tc>
          <w:tcPr>
            <w:tcW w:type="dxa" w:w="2189"/>
            <w:shd w:fill="ECFDF5"/>
            <w:tcMar>
              <w:top w:w="25" w:type="dxa"/>
              <w:bottom w:w="25" w:type="dxa"/>
              <w:left w:w="50" w:type="dxa"/>
              <w:right w:w="50" w:type="dxa"/>
            </w:tcMar>
            <w:tcBorders>
              <w:bottom w:val="single" w:sz="4" w:space="0" w:color="C5A681"/>
              <w:top w:val="none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4"/>
              </w:rPr>
              <w:t>+$1,233,804 (Net)</w:t>
            </w:r>
          </w:p>
        </w:tc>
      </w:tr>
    </w:tbl>
    <w:p>
      <w:pPr>
        <w:spacing w:before="60" w:after="20"/>
      </w:pPr>
      <w:r>
        <w:rPr>
          <w:rFonts w:ascii="Georgia" w:hAnsi="Georgia"/>
          <w:b/>
          <w:color w:val="322014"/>
          <w:sz w:val="18"/>
        </w:rPr>
        <w:t>3. FORMAL BOARD RESOLUTIONS REQUESTED FOR IMMEDIATE ADOPTION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3"/>
        <w:gridCol w:w="3643"/>
        <w:gridCol w:w="3643"/>
      </w:tblGrid>
      <w:tr>
        <w:tc>
          <w:tcPr>
            <w:tcW w:type="dxa" w:w="3648"/>
            <w:shd w:fill="F6F2E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8" w:space="0" w:color="5A392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5A3921"/>
                <w:sz w:val="14"/>
              </w:rPr>
              <w:t>Resolution 1: ERP Pricing Lock</w:t>
              <w:br/>
            </w:r>
            <w:r>
              <w:rPr>
                <w:rFonts w:ascii="Calibri" w:hAnsi="Calibri"/>
                <w:color w:val="1E293B"/>
                <w:sz w:val="13"/>
              </w:rPr>
              <w:t>Authorize immediate deployment of automated 20.0% discount ceiling in ERP order software, with mandatory CCO approval gate for 15.0%–20.0%.</w:t>
            </w:r>
          </w:p>
        </w:tc>
        <w:tc>
          <w:tcPr>
            <w:tcW w:type="dxa" w:w="3648"/>
            <w:shd w:fill="F6F2E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8" w:space="0" w:color="5A392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5A3921"/>
                <w:sz w:val="14"/>
              </w:rPr>
              <w:t>Resolution 2: Sovereign 3PL Shift</w:t>
              <w:br/>
            </w:r>
            <w:r>
              <w:rPr>
                <w:rFonts w:ascii="Calibri" w:hAnsi="Calibri"/>
                <w:color w:val="1E293B"/>
                <w:sz w:val="13"/>
              </w:rPr>
              <w:t>Approve contract negotiation of 3PL distributor agreements for Turkey and Nigeria, transferring freight, duties, and currency risk to local partners.</w:t>
            </w:r>
          </w:p>
        </w:tc>
        <w:tc>
          <w:tcPr>
            <w:tcW w:type="dxa" w:w="3648"/>
            <w:shd w:fill="F6F2E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8" w:space="0" w:color="5A3921"/>
              <w:bottom w:val="single" w:sz="4" w:space="0" w:color="C5A681"/>
              <w:left w:val="single" w:sz="4" w:space="0" w:color="C5A681"/>
              <w:right w:val="single" w:sz="4" w:space="0" w:color="C5A681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5A3921"/>
                <w:sz w:val="14"/>
              </w:rPr>
              <w:t>Resolution 3: Governance Charter</w:t>
              <w:br/>
            </w:r>
            <w:r>
              <w:rPr>
                <w:rFonts w:ascii="Calibri" w:hAnsi="Calibri"/>
                <w:color w:val="1E293B"/>
                <w:sz w:val="13"/>
              </w:rPr>
              <w:t>Charter a C-suite Margin Committee chaired by the CFO meeting monthly to review discount compliance, freight recovery, and ROIC hurdles.</w:t>
            </w:r>
          </w:p>
        </w:tc>
      </w:tr>
    </w:tbl>
    <w:p>
      <w:pPr>
        <w:spacing w:before="60" w:after="0"/>
      </w:pPr>
      <w:r>
        <w:rPr>
          <w:rFonts w:ascii="Arial" w:hAnsi="Arial"/>
          <w:i/>
          <w:color w:val="64748B"/>
          <w:sz w:val="12"/>
        </w:rPr>
        <w:t>CONFIDENTIAL  •  FOR BOARD OF DIRECTORS ONLY  •  GLOBAL SUPERSTORE REVIVAL STRATEGY</w:t>
        <w:br/>
        <w:t>Source: Global Superstore Transaction Ledger FY2011–FY2014 (51,290 lines). Financial models reflect Base Case parameters net of 5% attrition drag.</w:t>
      </w:r>
    </w:p>
    <w:sectPr w:rsidR="00FC693F" w:rsidRPr="0006063C" w:rsidSect="00034616">
      <w:pgSz w:w="12240" w:h="15840"/>
      <w:pgMar w:top="461" w:right="648" w:bottom="461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