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tittfod0xda" w:id="0"/>
      <w:bookmarkEnd w:id="0"/>
      <w:r w:rsidDel="00000000" w:rsidR="00000000" w:rsidRPr="00000000">
        <w:rPr>
          <w:rtl w:val="0"/>
        </w:rPr>
        <w:t xml:space="preserve">PLAN MAESTRO DE FORMACIÓN Y DESARROLLO DEPORTIVO GIGANTES 2026–2030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Club Deportivo Gigantes de Azapa · Arica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mku9gtat6fo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Gigantes de Azapa no forma solamente jugadores de rugby. Forma personas, jugadores, entrenadores, árbitros, oficiales y futuros dirigentes deportivos. Este plan integra la metodología deportiva, la planificación por categoría, la formación continua y la transparencia hacia las familias.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nt41xixltjo" w:id="2"/>
      <w:bookmarkEnd w:id="2"/>
      <w:r w:rsidDel="00000000" w:rsidR="00000000" w:rsidRPr="00000000">
        <w:rPr>
          <w:rtl w:val="0"/>
        </w:rPr>
        <w:t xml:space="preserve">1. Principios del modelo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Desarrollo progresivo y apropiado a la edad.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Seguridad y bienestar del jugador como condición de toda actividad.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Planificación escrita y objetivos claros por categoría.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Formación técnica, táctica, física, cognitiva y valórica.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Continuidad desde iniciación hasta rugby adulto y Classic.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Evaluación formativa, evitando rankings públicos de niños.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Aprendizaje permanente de entrenadores y oficiales.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Uso de recursos oficiales de World Rugby y capacitación interna Gigantes.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fw7idlg26jj5" w:id="3"/>
      <w:bookmarkEnd w:id="3"/>
      <w:r w:rsidDel="00000000" w:rsidR="00000000" w:rsidRPr="00000000">
        <w:rPr>
          <w:rtl w:val="0"/>
        </w:rPr>
        <w:t xml:space="preserve">2. Estructura formativa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Iniciación: M6 y M8 · juego, disfrute, coordinación, pertenencia y habilidades básicas.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Formativo: M10, M12 y M14 · fundamentos técnicos, toma de decisiones, continuidad y comprensión progresiva del juego.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Juvenil: M16 y M18 · consolidación técnica, táctica, preparación física y transición responsable.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Adulto / Classic: continuidad deportiva, liderazgo, competencia y transmisión de experiencia.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Femenino: desarrollo progresivo según masa crítica y condiciones de participación.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Desarrollo territorial: colegios, instituciones y nuevos núcleos de rugby en Arica.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l81j51bsfu91" w:id="4"/>
      <w:bookmarkEnd w:id="4"/>
      <w:r w:rsidDel="00000000" w:rsidR="00000000" w:rsidRPr="00000000">
        <w:rPr>
          <w:rtl w:val="0"/>
        </w:rPr>
        <w:t xml:space="preserve">3. Planificación deportiva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Cada categoría debe contar con planificación anual, mensual/semanal y de sesión. Toda planificación incorpora: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objetivo principal;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objetivos técnicos;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objetivos tácticos;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objetivos físicos;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objetivos cognitivos;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objetivos valóricos;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contenidos y ejercicios;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criterios de seguridad;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evaluación posterior del entrenador.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k40q23crl671" w:id="5"/>
      <w:bookmarkEnd w:id="5"/>
      <w:r w:rsidDel="00000000" w:rsidR="00000000" w:rsidRPr="00000000">
        <w:rPr>
          <w:rtl w:val="0"/>
        </w:rPr>
        <w:t xml:space="preserve">4. Visibilidad para familias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aplicación publica únicamente información formativa general: entrenador responsable, objetivos del período, habilidades trabajadas, valores, próximos hitos y avance general de la categoría. Evaluaciones individuales, observaciones sensibles, certificados y antecedentes personales permanecen en el área privada.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186dq4sl522w" w:id="6"/>
      <w:bookmarkEnd w:id="6"/>
      <w:r w:rsidDel="00000000" w:rsidR="00000000" w:rsidRPr="00000000">
        <w:rPr>
          <w:rtl w:val="0"/>
        </w:rPr>
        <w:t xml:space="preserve">5. Academia de Entrenadores Gigantes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Ruta interna: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Ayudante → Coach en formación → Coach de categoría → Head Coach / Mentor.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Meta institucional 2030: al menos dos coaches por categoría activa, un mentor transversal, banco de ayudantes, planificación escrita y reunión técnica mensual.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Plan anual de formación interna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Febrero: filosofía Gigantes y planificación.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Marzo: habilidades básicas.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Abril: entrenamiento infantil.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Mayo: contacto progresivo y seguridad.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Junio: análisis de juego.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Julio: preparación de competencia.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Agosto: feedback y liderazgo.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Septiembre: gestión de apoderados.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Octubre: diseño de festival y torneo.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Noviembre: evaluación anual y plan de mejora.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us6ofx4icrr9" w:id="7"/>
      <w:bookmarkEnd w:id="7"/>
      <w:r w:rsidDel="00000000" w:rsidR="00000000" w:rsidRPr="00000000">
        <w:rPr>
          <w:rtl w:val="0"/>
        </w:rPr>
        <w:t xml:space="preserve">6. Escuela de Árbitros y Oficiales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Ruta interna: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Etapa 1 · Mesa, cronómetro y planillas.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Etapa 2 · Touch / tag y apoyo de arbitraje.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Etapa 3 · Arbitraje de juego reducido formativo.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Etapa 4 · Capacitación formal aplicable.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Etapa 5 · Mentor local.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formación debe incluir leyes, señalización, comunicación, ventaja, seguridad, control del tiempo, revisión postpartido y práctica progresiva.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uktuehj2np99" w:id="8"/>
      <w:bookmarkEnd w:id="8"/>
      <w:r w:rsidDel="00000000" w:rsidR="00000000" w:rsidRPr="00000000">
        <w:rPr>
          <w:rtl w:val="0"/>
        </w:rPr>
        <w:t xml:space="preserve">7. World Rugby y formación externa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Academia utiliza World Rugby Passport como fuente oficial de aprendizaje y mantiene enlaces a las rutas de coaching, arbitraje, leyes, RugbyReady, bienestar del jugador, conmoción cerebral y salvaguarda. Los certificados oficiales se registran en la ficha privada del participante sin sustituir la plataforma oficial.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qxu58111b509" w:id="9"/>
      <w:bookmarkEnd w:id="9"/>
      <w:r w:rsidDel="00000000" w:rsidR="00000000" w:rsidRPr="00000000">
        <w:rPr>
          <w:rtl w:val="0"/>
        </w:rPr>
        <w:t xml:space="preserve">8. Indicadores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Coaches activos por categoría.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Porcentaje de categorías con planificación vigente.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Cursos y certificaciones completados.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Horas de capacitación interna.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Oficiales y árbitros en formación.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Asistencia a entrenamientos.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Retención de jugadores.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Eventos con checklist de seguridad completo.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Reuniones técnicas realizadas.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Planes publicados para familias.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sskii6pnhizi" w:id="10"/>
      <w:bookmarkEnd w:id="10"/>
      <w:r w:rsidDel="00000000" w:rsidR="00000000" w:rsidRPr="00000000">
        <w:rPr>
          <w:rtl w:val="0"/>
        </w:rPr>
        <w:t xml:space="preserve">9. Gobernanza y responsabilidades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Dirección Deportiva define lineamientos y supervisa el modelo.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Cada entrenador mantiene actualizada la planificación de su categoría.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 Directiva controla accesos y trazabilidad.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Los apoderados acceden a información general y a la información privada de sus hijos cuando corresponda.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información deportiva histórica permanece como patrimonio técnico del club.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g30joe9qg90r" w:id="11"/>
      <w:bookmarkEnd w:id="11"/>
      <w:r w:rsidDel="00000000" w:rsidR="00000000" w:rsidRPr="00000000">
        <w:rPr>
          <w:rtl w:val="0"/>
        </w:rPr>
        <w:t xml:space="preserve">10. Integración digital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Drive conserva el patrimonio técnico y documental.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Supabase conserva datos estructurados, permisos, planificación viva y progreso formativo.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app pública muestra objetivos generales y recursos.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Control Center permite a entrenadores y responsables cargar, actualizar y publicar la planificación correspondiente a sus permisos.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Documento base integrado con: Plan Deportivo Gigantes 2030, Escuela de Coaches, Escuela de Referees y Mesa de Control, Tablero de Indicadores Deportivos y Plan Integrado de Crecimiento Deportivo 2027–2030.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