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9C5A1E"/>
          <w:spacing w:val="20"/>
          <w:sz w:val="20"/>
          <w:szCs w:val="20"/>
        </w:rPr>
        <w:t xml:space="preserve">SYSTEM DESIGN RECORD</w:t>
      </w:r>
    </w:p>
    <w:p>
      <w:pPr>
        <w:spacing w:after="160" w:before="200"/>
      </w:pPr>
      <w:r>
        <w:rPr>
          <w:b/>
          <w:bCs/>
          <w:color w:val="1C242C"/>
          <w:sz w:val="56"/>
          <w:szCs w:val="56"/>
        </w:rPr>
        <w:t xml:space="preserve">Hub &amp; Lens Architecture</w:t>
      </w:r>
    </w:p>
    <w:p>
      <w:pPr>
        <w:pBdr>
          <w:bottom w:val="single" w:color="C9CCC4" w:sz="6" w:space="8"/>
        </w:pBdr>
        <w:spacing w:after="600"/>
      </w:pPr>
      <w:r>
        <w:rPr>
          <w:i/>
          <w:iCs/>
          <w:color w:val="5B6672"/>
          <w:sz w:val="26"/>
          <w:szCs w:val="26"/>
        </w:rPr>
        <w:t xml:space="preserve">Enterprise Domain Ontology Hub and Multi-Consumer Lens Layer for Aryx</w:t>
      </w:r>
    </w:p>
    <w:tbl>
      <w:tblPr>
        <w:tblW w:type="dxa" w:w="6000"/>
        <w:tblBorders>
          <w:top w:val="none"/>
          <w:left w:val="none"/>
          <w:bottom w:val="none"/>
          <w:right w:val="none"/>
          <w:insideH w:val="none"/>
          <w:insideV w:val="none"/>
        </w:tblBorders>
      </w:tblPr>
      <w:tblGrid>
        <w:gridCol w:w="1800"/>
        <w:gridCol w:w="4200"/>
      </w:tblGrid>
      <w:tr>
        <w:tc>
          <w:tcPr>
            <w:tcW w:type="dxa" w:w="1800"/>
            <w:tcMar>
              <w:top w:type="dxa" w:w="60"/>
              <w:bottom w:type="dxa" w:w="60"/>
            </w:tcMar>
          </w:tcPr>
          <w:p>
            <w:r>
              <w:rPr>
                <w:b/>
                <w:bCs/>
                <w:color w:val="5B6672"/>
                <w:spacing w:val="10"/>
                <w:sz w:val="18"/>
                <w:szCs w:val="18"/>
              </w:rPr>
              <w:t xml:space="preserve">DATE</w:t>
            </w:r>
          </w:p>
        </w:tc>
        <w:tc>
          <w:tcPr>
            <w:tcW w:type="dxa" w:w="4200"/>
            <w:tcMar>
              <w:top w:type="dxa" w:w="60"/>
              <w:bottom w:type="dxa" w:w="60"/>
            </w:tcMar>
          </w:tcPr>
          <w:p>
            <w:r>
              <w:rPr>
                <w:color w:val="1C242C"/>
                <w:sz w:val="22"/>
                <w:szCs w:val="22"/>
              </w:rPr>
              <w:t xml:space="preserve">2026-08-27</w:t>
            </w:r>
          </w:p>
        </w:tc>
      </w:tr>
      <w:tr>
        <w:tc>
          <w:tcPr>
            <w:tcW w:type="dxa" w:w="1800"/>
            <w:tcMar>
              <w:top w:type="dxa" w:w="60"/>
              <w:bottom w:type="dxa" w:w="60"/>
            </w:tcMar>
          </w:tcPr>
          <w:p>
            <w:r>
              <w:rPr>
                <w:b/>
                <w:bCs/>
                <w:color w:val="5B6672"/>
                <w:spacing w:val="10"/>
                <w:sz w:val="18"/>
                <w:szCs w:val="18"/>
              </w:rPr>
              <w:t xml:space="preserve">STATUS</w:t>
            </w:r>
          </w:p>
        </w:tc>
        <w:tc>
          <w:tcPr>
            <w:tcW w:type="dxa" w:w="4200"/>
            <w:tcMar>
              <w:top w:type="dxa" w:w="60"/>
              <w:bottom w:type="dxa" w:w="60"/>
            </w:tcMar>
          </w:tcPr>
          <w:p>
            <w:r>
              <w:rPr>
                <w:color w:val="1C242C"/>
                <w:sz w:val="22"/>
                <w:szCs w:val="22"/>
              </w:rPr>
              <w:t xml:space="preserve">Proposed — Phase 1 ready</w:t>
            </w:r>
          </w:p>
        </w:tc>
      </w:tr>
      <w:tr>
        <w:tc>
          <w:tcPr>
            <w:tcW w:type="dxa" w:w="1800"/>
            <w:tcMar>
              <w:top w:type="dxa" w:w="60"/>
              <w:bottom w:type="dxa" w:w="60"/>
            </w:tcMar>
          </w:tcPr>
          <w:p>
            <w:r>
              <w:rPr>
                <w:b/>
                <w:bCs/>
                <w:color w:val="5B6672"/>
                <w:spacing w:val="10"/>
                <w:sz w:val="18"/>
                <w:szCs w:val="18"/>
              </w:rPr>
              <w:t xml:space="preserve">SCOPE</w:t>
            </w:r>
          </w:p>
        </w:tc>
        <w:tc>
          <w:tcPr>
            <w:tcW w:type="dxa" w:w="4200"/>
            <w:tcMar>
              <w:top w:type="dxa" w:w="60"/>
              <w:bottom w:type="dxa" w:w="60"/>
            </w:tcMar>
          </w:tcPr>
          <w:p>
            <w:r>
              <w:rPr>
                <w:color w:val="1C242C"/>
                <w:sz w:val="22"/>
                <w:szCs w:val="22"/>
              </w:rPr>
              <w:t xml:space="preserve">Ontology hub, entity graph, lens layer</w:t>
            </w:r>
          </w:p>
        </w:tc>
      </w:tr>
      <w:tr>
        <w:tc>
          <w:tcPr>
            <w:tcW w:type="dxa" w:w="1800"/>
            <w:tcMar>
              <w:top w:type="dxa" w:w="60"/>
              <w:bottom w:type="dxa" w:w="60"/>
            </w:tcMar>
          </w:tcPr>
          <w:p>
            <w:r>
              <w:rPr>
                <w:b/>
                <w:bCs/>
                <w:color w:val="5B6672"/>
                <w:spacing w:val="10"/>
                <w:sz w:val="18"/>
                <w:szCs w:val="18"/>
              </w:rPr>
              <w:t xml:space="preserve">OWNERS</w:t>
            </w:r>
          </w:p>
        </w:tc>
        <w:tc>
          <w:tcPr>
            <w:tcW w:type="dxa" w:w="4200"/>
            <w:tcMar>
              <w:top w:type="dxa" w:w="60"/>
              <w:bottom w:type="dxa" w:w="60"/>
            </w:tcMar>
          </w:tcPr>
          <w:p>
            <w:r>
              <w:rPr>
                <w:color w:val="1C242C"/>
                <w:sz w:val="22"/>
                <w:szCs w:val="22"/>
              </w:rPr>
              <w:t xml:space="preserve">Aryx platform / data engineering</w:t>
            </w:r>
          </w:p>
        </w:tc>
      </w:tr>
    </w:tbl>
    <w:p>
      <w:r>
        <w:br w:type="page"/>
      </w:r>
    </w:p>
    <w:p>
      <w:pPr>
        <w:pStyle w:val="Heading1"/>
        <w:pBdr>
          <w:bottom w:val="single" w:color="9C5A1E" w:sz="6" w:space="4"/>
        </w:pBdr>
        <w:spacing w:after="200" w:before="480"/>
      </w:pPr>
      <w:r>
        <w:rPr>
          <w:b/>
          <w:bCs/>
          <w:color w:val="1C242C"/>
          <w:sz w:val="30"/>
          <w:szCs w:val="30"/>
        </w:rPr>
        <w:t xml:space="preserve">Contents</w:t>
      </w:r>
    </w:p>
    <w:p>
      <w:pPr>
        <w:pBdr>
          <w:bottom w:val="single" w:color="C9CCC4" w:sz="2" w:space="6"/>
        </w:pBdr>
        <w:spacing w:after="150"/>
      </w:pPr>
      <w:hyperlink w:history="1" w:anchor="sec1">
        <w:r>
          <w:rPr>
            <w:rFonts w:ascii="Georgia" w:cs="Georgia" w:eastAsia="Georgia" w:hAnsi="Georgia"/>
            <w:color w:val="9C5A1E"/>
            <w:sz w:val="23"/>
            <w:szCs w:val="23"/>
          </w:rPr>
          <w:t xml:space="preserve">1. Executive Summary</w:t>
        </w:r>
      </w:hyperlink>
    </w:p>
    <w:p>
      <w:pPr>
        <w:pBdr>
          <w:bottom w:val="single" w:color="C9CCC4" w:sz="2" w:space="6"/>
        </w:pBdr>
        <w:spacing w:after="150"/>
      </w:pPr>
      <w:hyperlink w:history="1" w:anchor="sec2">
        <w:r>
          <w:rPr>
            <w:rFonts w:ascii="Georgia" w:cs="Georgia" w:eastAsia="Georgia" w:hAnsi="Georgia"/>
            <w:color w:val="9C5A1E"/>
            <w:sz w:val="23"/>
            <w:szCs w:val="23"/>
          </w:rPr>
          <w:t xml:space="preserve">2. Background &amp; Motivation</w:t>
        </w:r>
      </w:hyperlink>
    </w:p>
    <w:p>
      <w:pPr>
        <w:pBdr>
          <w:bottom w:val="single" w:color="C9CCC4" w:sz="2" w:space="6"/>
        </w:pBdr>
        <w:spacing w:after="150"/>
      </w:pPr>
      <w:hyperlink w:history="1" w:anchor="sec3">
        <w:r>
          <w:rPr>
            <w:rFonts w:ascii="Georgia" w:cs="Georgia" w:eastAsia="Georgia" w:hAnsi="Georgia"/>
            <w:color w:val="9C5A1E"/>
            <w:sz w:val="23"/>
            <w:szCs w:val="23"/>
          </w:rPr>
          <w:t xml:space="preserve">3. Current-State Inventory</w:t>
        </w:r>
      </w:hyperlink>
    </w:p>
    <w:p>
      <w:pPr>
        <w:pBdr>
          <w:bottom w:val="single" w:color="C9CCC4" w:sz="2" w:space="6"/>
        </w:pBdr>
        <w:spacing w:after="150"/>
      </w:pPr>
      <w:hyperlink w:history="1" w:anchor="sec4">
        <w:r>
          <w:rPr>
            <w:rFonts w:ascii="Georgia" w:cs="Georgia" w:eastAsia="Georgia" w:hAnsi="Georgia"/>
            <w:color w:val="9C5A1E"/>
            <w:sz w:val="23"/>
            <w:szCs w:val="23"/>
          </w:rPr>
          <w:t xml:space="preserve">4. Gap Analysis</w:t>
        </w:r>
      </w:hyperlink>
    </w:p>
    <w:p>
      <w:pPr>
        <w:pBdr>
          <w:bottom w:val="single" w:color="C9CCC4" w:sz="2" w:space="6"/>
        </w:pBdr>
        <w:spacing w:after="150"/>
      </w:pPr>
      <w:hyperlink w:history="1" w:anchor="sec5">
        <w:r>
          <w:rPr>
            <w:rFonts w:ascii="Georgia" w:cs="Georgia" w:eastAsia="Georgia" w:hAnsi="Georgia"/>
            <w:color w:val="9C5A1E"/>
            <w:sz w:val="23"/>
            <w:szCs w:val="23"/>
          </w:rPr>
          <w:t xml:space="preserve">5. Proposed Lens Contract</w:t>
        </w:r>
      </w:hyperlink>
    </w:p>
    <w:p>
      <w:pPr>
        <w:pBdr>
          <w:bottom w:val="single" w:color="C9CCC4" w:sz="2" w:space="6"/>
        </w:pBdr>
        <w:spacing w:after="150"/>
      </w:pPr>
      <w:hyperlink w:history="1" w:anchor="sec6">
        <w:r>
          <w:rPr>
            <w:rFonts w:ascii="Georgia" w:cs="Georgia" w:eastAsia="Georgia" w:hAnsi="Georgia"/>
            <w:color w:val="9C5A1E"/>
            <w:sz w:val="23"/>
            <w:szCs w:val="23"/>
          </w:rPr>
          <w:t xml:space="preserve">6. Architecture &amp; Data Flow</w:t>
        </w:r>
      </w:hyperlink>
    </w:p>
    <w:p>
      <w:pPr>
        <w:pBdr>
          <w:bottom w:val="single" w:color="C9CCC4" w:sz="2" w:space="6"/>
        </w:pBdr>
        <w:spacing w:after="150"/>
      </w:pPr>
      <w:hyperlink w:history="1" w:anchor="sec7">
        <w:r>
          <w:rPr>
            <w:rFonts w:ascii="Georgia" w:cs="Georgia" w:eastAsia="Georgia" w:hAnsi="Georgia"/>
            <w:color w:val="9C5A1E"/>
            <w:sz w:val="23"/>
            <w:szCs w:val="23"/>
          </w:rPr>
          <w:t xml:space="preserve">7. Key Decision — Materialization Strategy</w:t>
        </w:r>
      </w:hyperlink>
    </w:p>
    <w:p>
      <w:pPr>
        <w:pBdr>
          <w:bottom w:val="single" w:color="C9CCC4" w:sz="2" w:space="6"/>
        </w:pBdr>
        <w:spacing w:after="150"/>
      </w:pPr>
      <w:hyperlink w:history="1" w:anchor="sec8">
        <w:r>
          <w:rPr>
            <w:rFonts w:ascii="Georgia" w:cs="Georgia" w:eastAsia="Georgia" w:hAnsi="Georgia"/>
            <w:color w:val="9C5A1E"/>
            <w:sz w:val="23"/>
            <w:szCs w:val="23"/>
          </w:rPr>
          <w:t xml:space="preserve">8. Access Control &amp; Ontology Versioning</w:t>
        </w:r>
      </w:hyperlink>
    </w:p>
    <w:p>
      <w:pPr>
        <w:pBdr>
          <w:bottom w:val="single" w:color="C9CCC4" w:sz="2" w:space="6"/>
        </w:pBdr>
        <w:spacing w:after="150"/>
      </w:pPr>
      <w:hyperlink w:history="1" w:anchor="sec9">
        <w:r>
          <w:rPr>
            <w:rFonts w:ascii="Georgia" w:cs="Georgia" w:eastAsia="Georgia" w:hAnsi="Georgia"/>
            <w:color w:val="9C5A1E"/>
            <w:sz w:val="23"/>
            <w:szCs w:val="23"/>
          </w:rPr>
          <w:t xml:space="preserve">9. Phased Rollout Plan</w:t>
        </w:r>
      </w:hyperlink>
    </w:p>
    <w:p>
      <w:pPr>
        <w:pBdr>
          <w:bottom w:val="single" w:color="C9CCC4" w:sz="2" w:space="6"/>
        </w:pBdr>
        <w:spacing w:after="150"/>
      </w:pPr>
      <w:hyperlink w:history="1" w:anchor="sec10">
        <w:r>
          <w:rPr>
            <w:rFonts w:ascii="Georgia" w:cs="Georgia" w:eastAsia="Georgia" w:hAnsi="Georgia"/>
            <w:color w:val="9C5A1E"/>
            <w:sz w:val="23"/>
            <w:szCs w:val="23"/>
          </w:rPr>
          <w:t xml:space="preserve">10. Decisions Log</w:t>
        </w:r>
      </w:hyperlink>
    </w:p>
    <w:p>
      <w:pPr>
        <w:pBdr>
          <w:bottom w:val="single" w:color="C9CCC4" w:sz="2" w:space="6"/>
        </w:pBdr>
        <w:spacing w:after="150"/>
      </w:pPr>
      <w:hyperlink w:history="1" w:anchor="sec11">
        <w:r>
          <w:rPr>
            <w:rFonts w:ascii="Georgia" w:cs="Georgia" w:eastAsia="Georgia" w:hAnsi="Georgia"/>
            <w:color w:val="9C5A1E"/>
            <w:sz w:val="23"/>
            <w:szCs w:val="23"/>
          </w:rPr>
          <w:t xml:space="preserve">11. Open Risks &amp; Considerations</w:t>
        </w:r>
      </w:hyperlink>
    </w:p>
    <w:p>
      <w:pPr>
        <w:pBdr>
          <w:bottom w:val="single" w:color="C9CCC4" w:sz="2" w:space="6"/>
        </w:pBdr>
        <w:spacing w:after="150"/>
      </w:pPr>
      <w:hyperlink w:history="1" w:anchor="sec12">
        <w:r>
          <w:rPr>
            <w:rFonts w:ascii="Georgia" w:cs="Georgia" w:eastAsia="Georgia" w:hAnsi="Georgia"/>
            <w:color w:val="9C5A1E"/>
            <w:sz w:val="23"/>
            <w:szCs w:val="23"/>
          </w:rPr>
          <w:t xml:space="preserve">12. Appendix — Store Reference Table</w:t>
        </w:r>
      </w:hyperlink>
    </w:p>
    <w:p>
      <w:r>
        <w:br w:type="page"/>
      </w:r>
    </w:p>
    <w:p>
      <w:pPr>
        <w:pStyle w:val="Heading1"/>
        <w:pBdr>
          <w:bottom w:val="single" w:color="9C5A1E" w:sz="6" w:space="4"/>
        </w:pBdr>
        <w:spacing w:after="200" w:before="480"/>
      </w:pPr>
      <w:bookmarkStart w:name="sec1" w:id="1"/>
      <w:r>
        <w:rPr>
          <w:b/>
          <w:bCs/>
          <w:color w:val="1C242C"/>
          <w:sz w:val="30"/>
          <w:szCs w:val="30"/>
        </w:rPr>
        <w:t xml:space="preserve">1. Executive Summary</w:t>
      </w:r>
      <w:bookmarkEnd w:id="1"/>
    </w:p>
    <w:p>
      <w:pPr>
        <w:spacing w:after="200" w:line="320"/>
      </w:pPr>
      <w:r>
        <w:rPr>
          <w:color w:val="1C242C"/>
          <w:sz w:val="22"/>
          <w:szCs w:val="22"/>
        </w:rPr>
        <w:t xml:space="preserve">Aryx does not need a new enterprise data hub built from scratch. It already has one, implicitly, spread across eight distinct persistence stores that together implement a canonical domain ontology, an entity-resolution pipeline, and an incrementally maintained relationship graph. What the platform lacks is a first-class “lens” — a named, governed, multi-consumer view over that hub — generalized from the one lens that already exists today for dashboards.</w:t>
      </w:r>
    </w:p>
    <w:p>
      <w:pPr>
        <w:spacing w:after="200" w:line="320"/>
      </w:pPr>
      <w:r>
        <w:rPr>
          <w:color w:val="1C242C"/>
          <w:sz w:val="22"/>
          <w:szCs w:val="22"/>
        </w:rPr>
        <w:t xml:space="preserve">This document is the formal system design record for that generalization. It is written for engineering stakeholders and covers, in order: a current-state inventory of the stores that already constitute the hub; a gap analysis identifying the three things genuinely missing; a proposed contract for a first-class Lens abstraction; the architecture and data flow that results; the key materialization-strategy tradeoff and the decision made on it; the access-control and ontology-versioning implications; a four-phase rollout plan; a decisions log; and a set of open risks that should stay visible as implementation proceeds.</w:t>
      </w:r>
    </w:p>
    <w:p>
      <w:pPr>
        <w:spacing w:after="200" w:line="320"/>
      </w:pPr>
      <w:r>
        <w:rPr>
          <w:color w:val="1C242C"/>
          <w:sz w:val="22"/>
          <w:szCs w:val="22"/>
        </w:rPr>
        <w:t xml:space="preserve">The central finding that shapes everything downstream is this: the risk in this project is not under-building, it is duplication. Any design that does not explicitly reuse the existing ProjectionStore watermark/dirty-set pipeline and the existing DashboardModelStore composition pattern will end up rebuilding infrastructure Aryx already operates in production.</w:t>
      </w:r>
    </w:p>
    <w:p>
      <w:pPr>
        <w:pStyle w:val="Heading1"/>
        <w:pBdr>
          <w:bottom w:val="single" w:color="9C5A1E" w:sz="6" w:space="4"/>
        </w:pBdr>
        <w:spacing w:after="200" w:before="480"/>
      </w:pPr>
      <w:bookmarkStart w:name="sec2" w:id="1"/>
      <w:r>
        <w:rPr>
          <w:b/>
          <w:bCs/>
          <w:color w:val="1C242C"/>
          <w:sz w:val="30"/>
          <w:szCs w:val="30"/>
        </w:rPr>
        <w:t xml:space="preserve">2. Background &amp; Motivation</w:t>
      </w:r>
      <w:bookmarkEnd w:id="1"/>
    </w:p>
    <w:p>
      <w:pPr>
        <w:spacing w:after="200" w:line="320"/>
      </w:pPr>
      <w:r>
        <w:rPr>
          <w:color w:val="1C242C"/>
          <w:sz w:val="22"/>
          <w:szCs w:val="22"/>
        </w:rPr>
        <w:t xml:space="preserve">The business driver for this work is straightforward: Aryx currently supports one governed consumer of its domain ontology — the dashboard composition pipeline — while every other prospective consumer (BI tooling, ML feature pipelines, external API integrations) would today require bespoke, ad hoc code written directly against the ontology and entity stores. That approach does not scale past a handful of consumers, and it provides no consistent place to enforce access control, track schema compatibility, or reason about staleness. The motivation for this record is to replace “one consumer, hard-coded” with “N consumers, each a governed catalog entry.”</w:t>
      </w:r>
    </w:p>
    <w:p>
      <w:pPr>
        <w:spacing w:after="200" w:line="320"/>
      </w:pPr>
      <w:r>
        <w:rPr>
          <w:color w:val="1C242C"/>
          <w:sz w:val="22"/>
          <w:szCs w:val="22"/>
        </w:rPr>
        <w:t xml:space="preserve">Two terms anchor the rest of this document and are worth defining precisely before proceeding.</w:t>
      </w:r>
    </w:p>
    <w:p>
      <w:pPr>
        <w:pStyle w:val="Heading3"/>
        <w:spacing w:after="100" w:before="220"/>
      </w:pPr>
      <w:r>
        <w:rPr>
          <w:b/>
          <w:bCs/>
          <w:i w:val="false"/>
          <w:iCs w:val="false"/>
          <w:color w:val="9C5A1E"/>
          <w:sz w:val="21"/>
          <w:szCs w:val="21"/>
        </w:rPr>
        <w:t xml:space="preserve">The Hub</w:t>
      </w:r>
    </w:p>
    <w:p>
      <w:pPr>
        <w:spacing w:after="200" w:line="320"/>
      </w:pPr>
      <w:r>
        <w:rPr>
          <w:color w:val="1C242C"/>
          <w:sz w:val="22"/>
          <w:szCs w:val="22"/>
        </w:rPr>
        <w:t xml:space="preserve">The hub is Aryx's central enterprise data asset: a canonical domain ontology (types, attributes, and the axioms that constrain them), the entity-resolution layer that turns raw ingested records into golden, deduplicated entities, and the typed relationship graph that connects those entities across datasets and source systems. The hub is the single source of truth; everything else in this document is about how consumers are permitted to look at it.</w:t>
      </w:r>
    </w:p>
    <w:p>
      <w:pPr>
        <w:pStyle w:val="Heading3"/>
        <w:spacing w:after="100" w:before="220"/>
      </w:pPr>
      <w:r>
        <w:rPr>
          <w:b/>
          <w:bCs/>
          <w:i w:val="false"/>
          <w:iCs w:val="false"/>
          <w:color w:val="9C5A1E"/>
          <w:sz w:val="21"/>
          <w:szCs w:val="21"/>
        </w:rPr>
        <w:t xml:space="preserve">The Lens</w:t>
      </w:r>
    </w:p>
    <w:p>
      <w:pPr>
        <w:spacing w:after="200" w:line="320"/>
      </w:pPr>
      <w:r>
        <w:rPr>
          <w:color w:val="1C242C"/>
          <w:sz w:val="22"/>
          <w:szCs w:val="22"/>
        </w:rPr>
        <w:t xml:space="preserve">A lens is a per-consumer or per-use-case projection over the hub: a filtered, reshaped, and access-scoped perspective on the same canonical data. A BI dashboard, an ML feature pipeline, and an external partner API are three different lenses over what is, underneath, the same ontology and the same entity graph — they differ in which types and attributes they may see, how fresh their view needs to be, and how heavily that view needs to be reshaped before it is useful to its consumer.</w:t>
      </w:r>
    </w:p>
    <w:p>
      <w:pPr>
        <w:pStyle w:val="Heading1"/>
        <w:pBdr>
          <w:bottom w:val="single" w:color="9C5A1E" w:sz="6" w:space="4"/>
        </w:pBdr>
        <w:spacing w:after="200" w:before="480"/>
      </w:pPr>
      <w:bookmarkStart w:name="sec3" w:id="1"/>
      <w:r>
        <w:rPr>
          <w:b/>
          <w:bCs/>
          <w:color w:val="1C242C"/>
          <w:sz w:val="30"/>
          <w:szCs w:val="30"/>
        </w:rPr>
        <w:t xml:space="preserve">3. Current-State Inventory</w:t>
      </w:r>
      <w:bookmarkEnd w:id="1"/>
    </w:p>
    <w:p>
      <w:pPr>
        <w:spacing w:after="200" w:line="320"/>
      </w:pPr>
      <w:r>
        <w:rPr>
          <w:color w:val="1C242C"/>
          <w:sz w:val="22"/>
          <w:szCs w:val="22"/>
        </w:rPr>
        <w:t xml:space="preserve">Before proposing anything new, the store layer was read directly rather than assumed. That reading materially changed the shape of this plan: every core primitive a “hub” requires is already implemented, and several of them are more sophisticated than a first pass at a hub would typically produce. Each store is described below.</w:t>
      </w:r>
    </w:p>
    <w:p>
      <w:pPr>
        <w:pStyle w:val="Heading2"/>
        <w:spacing w:after="120" w:before="320"/>
      </w:pPr>
      <w:r>
        <w:rPr>
          <w:b/>
          <w:bCs/>
          <w:color w:val="1C242C"/>
          <w:sz w:val="24"/>
          <w:szCs w:val="24"/>
        </w:rPr>
        <w:t xml:space="preserve">OntologyStore</w:t>
      </w:r>
    </w:p>
    <w:p>
      <w:pPr>
        <w:spacing w:after="200" w:line="320"/>
      </w:pPr>
      <w:r>
        <w:rPr>
          <w:color w:val="1C242C"/>
          <w:sz w:val="22"/>
          <w:szCs w:val="22"/>
        </w:rPr>
        <w:t xml:space="preserve">OntologyStore persists ontology types and schema mappings and is workspace-scoped: every type lives in exactly one workspace, and the human-in-the-loop approval gate together with parent/ancestor lookups filter consistently by workspace so that one workspace's types cannot bleed into another's. This is the type system underneath everything else in the hub — stage 6 of the ingestion pipeline.</w:t>
      </w:r>
    </w:p>
    <w:p>
      <w:pPr>
        <w:pStyle w:val="Heading2"/>
        <w:spacing w:after="120" w:before="320"/>
      </w:pPr>
      <w:r>
        <w:rPr>
          <w:b/>
          <w:bCs/>
          <w:color w:val="1C242C"/>
          <w:sz w:val="24"/>
          <w:szCs w:val="24"/>
        </w:rPr>
        <w:t xml:space="preserve">AxiomStore</w:t>
      </w:r>
    </w:p>
    <w:p>
      <w:pPr>
        <w:spacing w:after="200" w:line="320"/>
      </w:pPr>
      <w:r>
        <w:rPr>
          <w:color w:val="1C242C"/>
          <w:sz w:val="22"/>
          <w:szCs w:val="22"/>
        </w:rPr>
        <w:t xml:space="preserve">AxiomStore persists ontology axioms in the OWL tradition: disjoint_with, equivalent_to, domain, range, and cardinality_max, together with the violations those axioms surface at projection time. It is workspace-scoped and idempotent on the tuple of workspace, subject type, axiom kind, and a canonicalized payload hash, so the same axiom can be submitted twice without producing duplicate rows. This gives Aryx's ontology real constraint-checking capability, not merely a type list.</w:t>
      </w:r>
    </w:p>
    <w:p>
      <w:pPr>
        <w:pStyle w:val="Heading2"/>
        <w:spacing w:after="120" w:before="320"/>
      </w:pPr>
      <w:r>
        <w:rPr>
          <w:b/>
          <w:bCs/>
          <w:color w:val="1C242C"/>
          <w:sz w:val="24"/>
          <w:szCs w:val="24"/>
        </w:rPr>
        <w:t xml:space="preserve">VersionStore</w:t>
      </w:r>
    </w:p>
    <w:p>
      <w:pPr>
        <w:spacing w:after="200" w:line="320"/>
      </w:pPr>
      <w:r>
        <w:rPr>
          <w:color w:val="1C242C"/>
          <w:sz w:val="22"/>
          <w:szCs w:val="22"/>
        </w:rPr>
        <w:t xml:space="preserve">VersionStore takes a full JSON snapshot of the ontology — both types and rules — on every version cut, writing to the ontology-version table and an accompanying change log. This is the mechanism that makes ontology evolution auditable, and it is the store the proposed lens-versioning strategy (Section 8) will build directly on top of.</w:t>
      </w:r>
    </w:p>
    <w:p>
      <w:pPr>
        <w:pStyle w:val="Heading2"/>
        <w:spacing w:after="120" w:before="320"/>
      </w:pPr>
      <w:r>
        <w:rPr>
          <w:b/>
          <w:bCs/>
          <w:color w:val="1C242C"/>
          <w:sz w:val="24"/>
          <w:szCs w:val="24"/>
        </w:rPr>
        <w:t xml:space="preserve">EntityStore</w:t>
      </w:r>
    </w:p>
    <w:p>
      <w:pPr>
        <w:spacing w:after="200" w:line="320"/>
      </w:pPr>
      <w:r>
        <w:rPr>
          <w:color w:val="1C242C"/>
          <w:sz w:val="22"/>
          <w:szCs w:val="22"/>
        </w:rPr>
        <w:t xml:space="preserve">EntityStore is the persistence and record-loading layer for entity resolution: it reads a run's landed records, builds match text from key attributes, and writes resolved entities together with their provenance members. This is stage 7 of the pipeline and is what turns raw, duplicated, per-source records into the golden entities the rest of the hub reasons about.</w:t>
      </w:r>
    </w:p>
    <w:p>
      <w:pPr>
        <w:pStyle w:val="Heading2"/>
        <w:spacing w:after="120" w:before="320"/>
      </w:pPr>
      <w:r>
        <w:rPr>
          <w:b/>
          <w:bCs/>
          <w:color w:val="1C242C"/>
          <w:sz w:val="24"/>
          <w:szCs w:val="24"/>
        </w:rPr>
        <w:t xml:space="preserve">AdjudicationStore</w:t>
      </w:r>
    </w:p>
    <w:p>
      <w:pPr>
        <w:spacing w:after="200" w:line="320"/>
      </w:pPr>
      <w:r>
        <w:rPr>
          <w:color w:val="1C242C"/>
          <w:sz w:val="22"/>
          <w:szCs w:val="22"/>
        </w:rPr>
        <w:t xml:space="preserve">AdjudicationStore backs the human adjudication queue: every queued match pair, whether resolved by a human or by an LLM verdict, is treated as a labeled training example rather than a disposable decision. Its merge_entities_of operation applies the post-hoc union when a human approves a pair after a run has already materialized the two sides as separate entities — a correction path that keeps golden-record quality improving over time without requiring a full re-run.</w:t>
      </w:r>
    </w:p>
    <w:p>
      <w:pPr>
        <w:pStyle w:val="Heading2"/>
        <w:spacing w:after="120" w:before="320"/>
      </w:pPr>
      <w:r>
        <w:rPr>
          <w:b/>
          <w:bCs/>
          <w:color w:val="1C242C"/>
          <w:sz w:val="24"/>
          <w:szCs w:val="24"/>
        </w:rPr>
        <w:t xml:space="preserve">RelationshipTypeStore</w:t>
      </w:r>
    </w:p>
    <w:p>
      <w:pPr>
        <w:spacing w:after="200" w:line="320"/>
      </w:pPr>
      <w:r>
        <w:rPr>
          <w:color w:val="1C242C"/>
          <w:sz w:val="22"/>
          <w:szCs w:val="22"/>
        </w:rPr>
        <w:t xml:space="preserve">RelationshipTypeStore is the declared relationship-type catalog backing the modelling canvas. Drawn edges persist here as rows with the same intent as an owl:ObjectProperty declaration, so the ontology survives a page refresh and the projection pipeline has a catalog of expected edges to validate against before any ingest run begins. This store is the closest existing precedent for the Lens catalog proposed in Section 5 — both are typed, declared, workspace-scoped catalogs that other pipeline stages consult.</w:t>
      </w:r>
    </w:p>
    <w:p>
      <w:pPr>
        <w:pStyle w:val="Heading2"/>
        <w:spacing w:after="120" w:before="320"/>
      </w:pPr>
      <w:r>
        <w:rPr>
          <w:b/>
          <w:bCs/>
          <w:color w:val="1C242C"/>
          <w:sz w:val="24"/>
          <w:szCs w:val="24"/>
        </w:rPr>
        <w:t xml:space="preserve">GraphIntakeStore</w:t>
      </w:r>
    </w:p>
    <w:p>
      <w:pPr>
        <w:spacing w:after="200" w:line="320"/>
      </w:pPr>
      <w:r>
        <w:rPr>
          <w:color w:val="1C242C"/>
          <w:sz w:val="22"/>
          <w:szCs w:val="22"/>
        </w:rPr>
        <w:t xml:space="preserve">GraphIntakeStore persists validated graph versions. It is workspace-scoped and insert-only: both the original submitted JSON and the canonicalized, normalized graph are stored, and identical content under a given graph is stored exactly once by content hash. It also provides bounded adapter reads over the normalized graph for downstream consumers.</w:t>
      </w:r>
    </w:p>
    <w:p>
      <w:pPr>
        <w:pStyle w:val="Heading2"/>
        <w:spacing w:after="120" w:before="320"/>
      </w:pPr>
      <w:r>
        <w:rPr>
          <w:b/>
          <w:bCs/>
          <w:color w:val="1C242C"/>
          <w:sz w:val="24"/>
          <w:szCs w:val="24"/>
        </w:rPr>
        <w:t xml:space="preserve">ProjectionStore</w:t>
      </w:r>
    </w:p>
    <w:p>
      <w:pPr>
        <w:spacing w:after="200" w:line="320"/>
      </w:pPr>
      <w:r>
        <w:rPr>
          <w:color w:val="1C242C"/>
          <w:sz w:val="22"/>
          <w:szCs w:val="22"/>
        </w:rPr>
        <w:t xml:space="preserve">ProjectionStore is the incremental-projection bookkeeping layer. Its guiding principle is that the dirty set is computed in Postgres and never by diffing the graph itself: dirty entities are simply the rows touched since the last recorded watermark, and tombstones are ids present in the projected side table that no longer exist in the entity table. ProjectionStore exposes the watermark read/advance pair, entity counts (used to decide between full-rebuild and incremental modes), the dirty-entity list itself, tombstone detection, and provenance and relationship lookups scoped to the dirty set. This is the single most important existing asset for the lens design: it is already a working, production incremental-projection pipeline, and the phased plan in Section 9 depends on extending this pattern per lens rather than replacing it.</w:t>
      </w:r>
    </w:p>
    <w:p>
      <w:pPr>
        <w:pStyle w:val="Heading2"/>
        <w:spacing w:after="120" w:before="320"/>
      </w:pPr>
      <w:r>
        <w:rPr>
          <w:b/>
          <w:bCs/>
          <w:color w:val="1C242C"/>
          <w:sz w:val="24"/>
          <w:szCs w:val="24"/>
        </w:rPr>
        <w:t xml:space="preserve">DashboardModelStore</w:t>
      </w:r>
    </w:p>
    <w:p>
      <w:pPr>
        <w:spacing w:after="200" w:line="320"/>
      </w:pPr>
      <w:r>
        <w:rPr>
          <w:color w:val="1C242C"/>
          <w:sz w:val="22"/>
          <w:szCs w:val="22"/>
        </w:rPr>
        <w:t xml:space="preserve">DashboardModelStore composes and persists dashboard models, one row per dataset and dataset version, replacing in place on re-run — the same convention used by the dashboard-spec and execution-plan stores elsewhere in the pipeline. This store is, functionally, the one lens Aryx already has in production: it is a filtered, reshaped, consumer-specific projection over the hub. Its limitation is not architectural but scope — it is hard-coded to exactly one consumer type and has no generalized notion of access scope, refresh mode, or schema-version pinning.</w:t>
      </w:r>
    </w:p>
    <w:p>
      <w:pPr>
        <w:pStyle w:val="Heading2"/>
        <w:spacing w:after="120" w:before="320"/>
      </w:pPr>
      <w:r>
        <w:rPr>
          <w:b/>
          <w:bCs/>
          <w:color w:val="1C242C"/>
          <w:sz w:val="24"/>
          <w:szCs w:val="24"/>
        </w:rPr>
        <w:t xml:space="preserve">A related pipeline stage: deterministic FK edges</w:t>
      </w:r>
    </w:p>
    <w:p>
      <w:pPr>
        <w:spacing w:after="200" w:line="320"/>
      </w:pPr>
      <w:r>
        <w:rPr>
          <w:color w:val="1C242C"/>
          <w:sz w:val="22"/>
          <w:szCs w:val="22"/>
        </w:rPr>
        <w:t xml:space="preserve">Outside the store layer proper, the fk_edges module deserves mention because it demonstrates how deliberately Aryx already separates deterministic and probabilistic linking. It links entities by exact, case-insensitive attribute equality — for example, a support ticket record that carries a customer_name attribute is linked to the matching Customer entity — with no LLM involvement and no confidence scoring below certainty. This exact-match discipline is the same discipline the lens layer should inherit: prefer deterministic, auditable rules wherever the data allows it, and reserve probabilistic or LLM-assisted resolution for the cases that genuinely require it.</w:t>
      </w:r>
    </w:p>
    <w:p>
      <w:pPr>
        <w:spacing w:after="200" w:line="320"/>
      </w:pPr>
      <w:r>
        <w:rPr>
          <w:color w:val="1C242C"/>
          <w:sz w:val="22"/>
          <w:szCs w:val="22"/>
        </w:rPr>
        <w:t xml:space="preserve">Taken together, these nine assets mean this initiative should be understood as a formalization project rather than a greenfield build. The primary risk to manage during implementation is duplicating what ProjectionStore and DashboardModelStore already do well, not inventing new equivalents of them.</w:t>
      </w:r>
    </w:p>
    <w:p>
      <w:pPr>
        <w:pStyle w:val="Heading1"/>
        <w:pBdr>
          <w:bottom w:val="single" w:color="9C5A1E" w:sz="6" w:space="4"/>
        </w:pBdr>
        <w:spacing w:after="200" w:before="480"/>
      </w:pPr>
      <w:bookmarkStart w:name="sec4" w:id="1"/>
      <w:r>
        <w:rPr>
          <w:b/>
          <w:bCs/>
          <w:color w:val="1C242C"/>
          <w:sz w:val="30"/>
          <w:szCs w:val="30"/>
        </w:rPr>
        <w:t xml:space="preserve">4. Gap Analysis</w:t>
      </w:r>
      <w:bookmarkEnd w:id="1"/>
    </w:p>
    <w:p>
      <w:pPr>
        <w:spacing w:after="200" w:line="320"/>
      </w:pPr>
      <w:r>
        <w:rPr>
          <w:color w:val="1C242C"/>
          <w:sz w:val="22"/>
          <w:szCs w:val="22"/>
        </w:rPr>
        <w:t xml:space="preserve">Against that inventory, three gaps are real and each represents genuinely new work rather than a generalization of something already in place.</w:t>
      </w:r>
    </w:p>
    <w:p>
      <w:pPr>
        <w:pStyle w:val="Heading2"/>
        <w:spacing w:after="120" w:before="320"/>
      </w:pPr>
      <w:r>
        <w:rPr>
          <w:b/>
          <w:bCs/>
          <w:color w:val="1C242C"/>
          <w:sz w:val="24"/>
          <w:szCs w:val="24"/>
        </w:rPr>
        <w:t xml:space="preserve">Gap 1 — No multi-consumer view concept</w:t>
      </w:r>
    </w:p>
    <w:p>
      <w:pPr>
        <w:spacing w:after="200" w:line="320"/>
      </w:pPr>
      <w:r>
        <w:rPr>
          <w:color w:val="1C242C"/>
          <w:sz w:val="22"/>
          <w:szCs w:val="22"/>
        </w:rPr>
        <w:t xml:space="preserve">ProjectionStore materializes exactly one graph per workspace, governed by a single watermark. DashboardModelStore composes exactly one model per dataset and dataset version. Neither store, nor any other in the current inventory, supports the coexistence of several independently scoped views over the same underlying hub. Adding a second consumer today would mean either overloading DashboardModelStore's semantics or writing a parallel, one-off store — both of which are the duplication risk named above.</w:t>
      </w:r>
    </w:p>
    <w:p>
      <w:pPr>
        <w:pStyle w:val="Heading2"/>
        <w:spacing w:after="120" w:before="320"/>
      </w:pPr>
      <w:r>
        <w:rPr>
          <w:b/>
          <w:bCs/>
          <w:color w:val="1C242C"/>
          <w:sz w:val="24"/>
          <w:szCs w:val="24"/>
        </w:rPr>
        <w:t xml:space="preserve">Gap 2 — No fine-grained access control</w:t>
      </w:r>
    </w:p>
    <w:p>
      <w:pPr>
        <w:spacing w:after="200" w:line="320"/>
      </w:pPr>
      <w:r>
        <w:rPr>
          <w:color w:val="1C242C"/>
          <w:sz w:val="22"/>
          <w:szCs w:val="22"/>
        </w:rPr>
        <w:t xml:space="preserve">The only access boundary enforced anywhere in the current system is workspace_id, together with MCP bearer-token authentication for tool access. Neither mechanism supports row-level or attribute-level scoping. A lens intended for a BI consumer that should see aggregate revenue but not the underlying customer PII has no existing mechanism to express or enforce that distinction.</w:t>
      </w:r>
    </w:p>
    <w:p>
      <w:pPr>
        <w:pStyle w:val="Heading2"/>
        <w:spacing w:after="120" w:before="320"/>
      </w:pPr>
      <w:r>
        <w:rPr>
          <w:b/>
          <w:bCs/>
          <w:color w:val="1C242C"/>
          <w:sz w:val="24"/>
          <w:szCs w:val="24"/>
        </w:rPr>
        <w:t xml:space="preserve">Gap 3 — No ontology version-compatibility check</w:t>
      </w:r>
    </w:p>
    <w:p>
      <w:pPr>
        <w:spacing w:after="200" w:line="320"/>
      </w:pPr>
      <w:r>
        <w:rPr>
          <w:color w:val="1C242C"/>
          <w:sz w:val="22"/>
          <w:szCs w:val="22"/>
        </w:rPr>
        <w:t xml:space="preserve">VersionStore faithfully snapshots every ontology version cut, but nothing in the current system re-validates existing downstream consumers against a new version at the moment it is cut. A type removal or an attribute rename can silently orphan a consumer that depended on it, and that break would only surface as a runtime failure well after the version change, rather than as a warning at the moment the risk was introduced.</w:t>
      </w:r>
    </w:p>
    <w:p>
      <w:pPr>
        <w:pStyle w:val="Heading1"/>
        <w:pBdr>
          <w:bottom w:val="single" w:color="9C5A1E" w:sz="6" w:space="4"/>
        </w:pBdr>
        <w:spacing w:after="200" w:before="480"/>
      </w:pPr>
      <w:bookmarkStart w:name="sec5" w:id="1"/>
      <w:r>
        <w:rPr>
          <w:b/>
          <w:bCs/>
          <w:color w:val="1C242C"/>
          <w:sz w:val="30"/>
          <w:szCs w:val="30"/>
        </w:rPr>
        <w:t xml:space="preserve">5. Proposed Lens Contract</w:t>
      </w:r>
      <w:bookmarkEnd w:id="1"/>
    </w:p>
    <w:p>
      <w:pPr>
        <w:spacing w:after="200" w:line="320"/>
      </w:pPr>
      <w:r>
        <w:rPr>
          <w:color w:val="1C242C"/>
          <w:sz w:val="22"/>
          <w:szCs w:val="22"/>
        </w:rPr>
        <w:t xml:space="preserve">The proposed remedy for Gap 1 is a new LensStore, cataloged in the same shape as the existing RelationshipTypeStore: a typed, declared, workspace-scoped catalog of entries that other pipeline stages can read and validate against, rather than an ad hoc structure discovered anew in each consumer's own code. The proposed schema is as follows.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700"/>
      </w:tblGrid>
      <w:tr>
        <w:trPr>
          <w:tblHeader/>
        </w:trPr>
        <w:tc>
          <w:tcPr>
            <w:tcW w:type="dxa" w:w="2000"/>
            <w:shd w:fill="EFEAE0" w:val="clear"/>
            <w:tcMar>
              <w:top w:type="dxa" w:w="90"/>
              <w:left w:type="dxa" w:w="120"/>
              <w:bottom w:type="dxa" w:w="90"/>
              <w:right w:type="dxa" w:w="120"/>
            </w:tcMar>
            <w:vAlign w:val="center"/>
          </w:tcPr>
          <w:p>
            <w:pPr>
              <w:jc w:val="left"/>
            </w:pPr>
            <w:r>
              <w:rPr>
                <w:b/>
                <w:bCs/>
                <w:color w:val="1C242C"/>
                <w:sz w:val="20"/>
                <w:szCs w:val="20"/>
              </w:rPr>
              <w:t xml:space="preserve">Field</w:t>
            </w:r>
          </w:p>
        </w:tc>
        <w:tc>
          <w:tcPr>
            <w:tcW w:type="dxa" w:w="1400"/>
            <w:shd w:fill="EFEAE0" w:val="clear"/>
            <w:tcMar>
              <w:top w:type="dxa" w:w="90"/>
              <w:left w:type="dxa" w:w="120"/>
              <w:bottom w:type="dxa" w:w="90"/>
              <w:right w:type="dxa" w:w="120"/>
            </w:tcMar>
            <w:vAlign w:val="center"/>
          </w:tcPr>
          <w:p>
            <w:pPr>
              <w:jc w:val="left"/>
            </w:pPr>
            <w:r>
              <w:rPr>
                <w:b/>
                <w:bCs/>
                <w:color w:val="1C242C"/>
                <w:sz w:val="20"/>
                <w:szCs w:val="20"/>
              </w:rPr>
              <w:t xml:space="preserve">Type</w:t>
            </w:r>
          </w:p>
        </w:tc>
        <w:tc>
          <w:tcPr>
            <w:tcW w:type="dxa" w:w="5700"/>
            <w:shd w:fill="EFEAE0" w:val="clear"/>
            <w:tcMar>
              <w:top w:type="dxa" w:w="90"/>
              <w:left w:type="dxa" w:w="120"/>
              <w:bottom w:type="dxa" w:w="90"/>
              <w:right w:type="dxa" w:w="120"/>
            </w:tcMar>
            <w:vAlign w:val="center"/>
          </w:tcPr>
          <w:p>
            <w:pPr>
              <w:jc w:val="left"/>
            </w:pPr>
            <w:r>
              <w:rPr>
                <w:b/>
                <w:bCs/>
                <w:color w:val="1C242C"/>
                <w:sz w:val="20"/>
                <w:szCs w:val="20"/>
              </w:rPr>
              <w:t xml:space="preserve">Purpose</w:t>
            </w:r>
          </w:p>
        </w:tc>
      </w:tr>
      <w:tr>
        <w:tc>
          <w:tcPr>
            <w:tcW w:type="dxa" w:w="20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lens_id</w:t>
            </w:r>
          </w:p>
        </w:tc>
        <w:tc>
          <w:tcPr>
            <w:tcW w:type="dxa" w:w="1400"/>
            <w:tcMar>
              <w:top w:type="dxa" w:w="90"/>
              <w:left w:type="dxa" w:w="120"/>
              <w:bottom w:type="dxa" w:w="90"/>
              <w:right w:type="dxa" w:w="120"/>
            </w:tcMar>
            <w:vAlign w:val="center"/>
          </w:tcPr>
          <w:p>
            <w:pPr>
              <w:jc w:val="left"/>
            </w:pPr>
            <w:r>
              <w:rPr>
                <w:b w:val="false"/>
                <w:bCs w:val="false"/>
                <w:color w:val="1C242C"/>
                <w:sz w:val="20"/>
                <w:szCs w:val="20"/>
              </w:rPr>
              <w:t xml:space="preserve">text</w:t>
            </w:r>
          </w:p>
        </w:tc>
        <w:tc>
          <w:tcPr>
            <w:tcW w:type="dxa" w:w="5700"/>
            <w:tcMar>
              <w:top w:type="dxa" w:w="90"/>
              <w:left w:type="dxa" w:w="120"/>
              <w:bottom w:type="dxa" w:w="90"/>
              <w:right w:type="dxa" w:w="120"/>
            </w:tcMar>
            <w:vAlign w:val="center"/>
          </w:tcPr>
          <w:p>
            <w:pPr>
              <w:jc w:val="left"/>
            </w:pPr>
            <w:r>
              <w:rPr>
                <w:b w:val="false"/>
                <w:bCs w:val="false"/>
                <w:color w:val="1C242C"/>
                <w:sz w:val="20"/>
                <w:szCs w:val="20"/>
              </w:rPr>
              <w:t xml:space="preserve">Stable identifier for the lens, used by consumers and by internal cross-references.</w:t>
            </w:r>
          </w:p>
        </w:tc>
      </w:tr>
      <w:tr>
        <w:tc>
          <w:tcPr>
            <w:tcW w:type="dxa" w:w="20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name</w:t>
            </w:r>
          </w:p>
        </w:tc>
        <w:tc>
          <w:tcPr>
            <w:tcW w:type="dxa" w:w="14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text</w:t>
            </w:r>
          </w:p>
        </w:tc>
        <w:tc>
          <w:tcPr>
            <w:tcW w:type="dxa" w:w="57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Human-readable label shown in tooling and audit logs.</w:t>
            </w:r>
          </w:p>
        </w:tc>
      </w:tr>
      <w:tr>
        <w:tc>
          <w:tcPr>
            <w:tcW w:type="dxa" w:w="20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consumer_type</w:t>
            </w:r>
          </w:p>
        </w:tc>
        <w:tc>
          <w:tcPr>
            <w:tcW w:type="dxa" w:w="1400"/>
            <w:tcMar>
              <w:top w:type="dxa" w:w="90"/>
              <w:left w:type="dxa" w:w="120"/>
              <w:bottom w:type="dxa" w:w="90"/>
              <w:right w:type="dxa" w:w="120"/>
            </w:tcMar>
            <w:vAlign w:val="center"/>
          </w:tcPr>
          <w:p>
            <w:pPr>
              <w:jc w:val="left"/>
            </w:pPr>
            <w:r>
              <w:rPr>
                <w:b w:val="false"/>
                <w:bCs w:val="false"/>
                <w:color w:val="1C242C"/>
                <w:sz w:val="20"/>
                <w:szCs w:val="20"/>
              </w:rPr>
              <w:t xml:space="preserve">enum</w:t>
            </w:r>
          </w:p>
        </w:tc>
        <w:tc>
          <w:tcPr>
            <w:tcW w:type="dxa" w:w="5700"/>
            <w:tcMar>
              <w:top w:type="dxa" w:w="90"/>
              <w:left w:type="dxa" w:w="120"/>
              <w:bottom w:type="dxa" w:w="90"/>
              <w:right w:type="dxa" w:w="120"/>
            </w:tcMar>
            <w:vAlign w:val="center"/>
          </w:tcPr>
          <w:p>
            <w:pPr>
              <w:jc w:val="left"/>
            </w:pPr>
            <w:r>
              <w:rPr>
                <w:b w:val="false"/>
                <w:bCs w:val="false"/>
                <w:color w:val="1C242C"/>
                <w:sz w:val="20"/>
                <w:szCs w:val="20"/>
              </w:rPr>
              <w:t xml:space="preserve">One of dashboard, bi, ml, or api — governs default materialization and access assumptions.</w:t>
            </w:r>
          </w:p>
        </w:tc>
      </w:tr>
      <w:tr>
        <w:tc>
          <w:tcPr>
            <w:tcW w:type="dxa" w:w="20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source_types[]</w:t>
            </w:r>
          </w:p>
        </w:tc>
        <w:tc>
          <w:tcPr>
            <w:tcW w:type="dxa" w:w="14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text[]</w:t>
            </w:r>
          </w:p>
        </w:tc>
        <w:tc>
          <w:tcPr>
            <w:tcW w:type="dxa" w:w="57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The ontology types this lens is permitted to draw from.</w:t>
            </w:r>
          </w:p>
        </w:tc>
      </w:tr>
      <w:tr>
        <w:tc>
          <w:tcPr>
            <w:tcW w:type="dxa" w:w="20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access_scope</w:t>
            </w:r>
          </w:p>
        </w:tc>
        <w:tc>
          <w:tcPr>
            <w:tcW w:type="dxa" w:w="1400"/>
            <w:tcMar>
              <w:top w:type="dxa" w:w="90"/>
              <w:left w:type="dxa" w:w="120"/>
              <w:bottom w:type="dxa" w:w="90"/>
              <w:right w:type="dxa" w:w="120"/>
            </w:tcMar>
            <w:vAlign w:val="center"/>
          </w:tcPr>
          <w:p>
            <w:pPr>
              <w:jc w:val="left"/>
            </w:pPr>
            <w:r>
              <w:rPr>
                <w:b w:val="false"/>
                <w:bCs w:val="false"/>
                <w:color w:val="1C242C"/>
                <w:sz w:val="20"/>
                <w:szCs w:val="20"/>
              </w:rPr>
              <w:t xml:space="preserve">jsonb</w:t>
            </w:r>
          </w:p>
        </w:tc>
        <w:tc>
          <w:tcPr>
            <w:tcW w:type="dxa" w:w="5700"/>
            <w:tcMar>
              <w:top w:type="dxa" w:w="90"/>
              <w:left w:type="dxa" w:w="120"/>
              <w:bottom w:type="dxa" w:w="90"/>
              <w:right w:type="dxa" w:w="120"/>
            </w:tcMar>
            <w:vAlign w:val="center"/>
          </w:tcPr>
          <w:p>
            <w:pPr>
              <w:jc w:val="left"/>
            </w:pPr>
            <w:r>
              <w:rPr>
                <w:b w:val="false"/>
                <w:bCs w:val="false"/>
                <w:color w:val="1C242C"/>
                <w:sz w:val="20"/>
                <w:szCs w:val="20"/>
              </w:rPr>
              <w:t xml:space="preserve">A per-type attribute allowlist, resolved against the ontology's own type model.</w:t>
            </w:r>
          </w:p>
        </w:tc>
      </w:tr>
      <w:tr>
        <w:tc>
          <w:tcPr>
            <w:tcW w:type="dxa" w:w="20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refresh_mode</w:t>
            </w:r>
          </w:p>
        </w:tc>
        <w:tc>
          <w:tcPr>
            <w:tcW w:type="dxa" w:w="14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enum</w:t>
            </w:r>
          </w:p>
        </w:tc>
        <w:tc>
          <w:tcPr>
            <w:tcW w:type="dxa" w:w="57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materialized or live — see Section 7 for the decision on when each applies.</w:t>
            </w:r>
          </w:p>
        </w:tc>
      </w:tr>
      <w:tr>
        <w:tc>
          <w:tcPr>
            <w:tcW w:type="dxa" w:w="20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schema_version</w:t>
            </w:r>
          </w:p>
        </w:tc>
        <w:tc>
          <w:tcPr>
            <w:tcW w:type="dxa" w:w="1400"/>
            <w:tcMar>
              <w:top w:type="dxa" w:w="90"/>
              <w:left w:type="dxa" w:w="120"/>
              <w:bottom w:type="dxa" w:w="90"/>
              <w:right w:type="dxa" w:w="120"/>
            </w:tcMar>
            <w:vAlign w:val="center"/>
          </w:tcPr>
          <w:p>
            <w:pPr>
              <w:jc w:val="left"/>
            </w:pPr>
            <w:r>
              <w:rPr>
                <w:b w:val="false"/>
                <w:bCs w:val="false"/>
                <w:color w:val="1C242C"/>
                <w:sz w:val="20"/>
                <w:szCs w:val="20"/>
              </w:rPr>
              <w:t xml:space="preserve">int</w:t>
            </w:r>
          </w:p>
        </w:tc>
        <w:tc>
          <w:tcPr>
            <w:tcW w:type="dxa" w:w="5700"/>
            <w:tcMar>
              <w:top w:type="dxa" w:w="90"/>
              <w:left w:type="dxa" w:w="120"/>
              <w:bottom w:type="dxa" w:w="90"/>
              <w:right w:type="dxa" w:w="120"/>
            </w:tcMar>
            <w:vAlign w:val="center"/>
          </w:tcPr>
          <w:p>
            <w:pPr>
              <w:jc w:val="left"/>
            </w:pPr>
            <w:r>
              <w:rPr>
                <w:b w:val="false"/>
                <w:bCs w:val="false"/>
                <w:color w:val="1C242C"/>
                <w:sz w:val="20"/>
                <w:szCs w:val="20"/>
              </w:rPr>
              <w:t xml:space="preserve">The ontology version this lens is pinned to; used for the compatibility check in Section 8.</w:t>
            </w:r>
          </w:p>
        </w:tc>
      </w:tr>
    </w:tbl>
    <w:p>
      <w:pPr>
        <w:spacing w:after="260" w:before="60"/>
      </w:pPr>
      <w:r>
        <w:rPr>
          <w:i/>
          <w:iCs/>
          <w:color w:val="5B6672"/>
          <w:sz w:val="18"/>
          <w:szCs w:val="18"/>
        </w:rPr>
        <w:t xml:space="preserve">Table 1. Proposed LensStore schema.</w:t>
      </w:r>
    </w:p>
    <w:p>
      <w:pPr>
        <w:spacing w:after="200" w:line="320"/>
      </w:pPr>
      <w:r>
        <w:rPr>
          <w:color w:val="1C242C"/>
          <w:sz w:val="22"/>
          <w:szCs w:val="22"/>
        </w:rPr>
        <w:t xml:space="preserve">Under this contract, the dashboard composer becomes the first registered row in the lens catalog rather than a permanent special case living outside it — the migration path for Phase 1 (Section 9) is to absorb DashboardModelStore's existing behavior into this catalog, not to run the two systems in parallel indefinitely.</w:t>
      </w:r>
    </w:p>
    <w:p>
      <w:pPr>
        <w:pStyle w:val="Heading1"/>
        <w:pBdr>
          <w:bottom w:val="single" w:color="9C5A1E" w:sz="6" w:space="4"/>
        </w:pBdr>
        <w:spacing w:after="200" w:before="480"/>
      </w:pPr>
      <w:bookmarkStart w:name="sec6" w:id="1"/>
      <w:r>
        <w:rPr>
          <w:b/>
          <w:bCs/>
          <w:color w:val="1C242C"/>
          <w:sz w:val="30"/>
          <w:szCs w:val="30"/>
        </w:rPr>
        <w:t xml:space="preserve">6. Architecture &amp; Data Flow</w:t>
      </w:r>
      <w:bookmarkEnd w:id="1"/>
    </w:p>
    <w:p>
      <w:pPr>
        <w:spacing w:after="200" w:line="320"/>
      </w:pPr>
      <w:r>
        <w:rPr>
          <w:color w:val="1C242C"/>
          <w:sz w:val="22"/>
          <w:szCs w:val="22"/>
        </w:rPr>
        <w:t xml:space="preserve">Read end to end, the proposed system extends today's pipeline by exactly one new stage inserted after graph projection and before any consumer is served. Ingested records first pass through entity resolution (EntityStore), which produces golden entities and their provenance. Those entities are typed and constrained against the ontology hub — OntologyStore for the type system, AxiomStore for the constraints those types must satisfy, RelationshipTypeStore for the catalog of edges that may connect them, and VersionStore for the versioned snapshot all of this belongs to at any point in time.</w:t>
      </w:r>
    </w:p>
    <w:p>
      <w:pPr>
        <w:spacing w:after="200" w:line="320"/>
      </w:pPr>
      <w:r>
        <w:rPr>
          <w:color w:val="1C242C"/>
          <w:sz w:val="22"/>
          <w:szCs w:val="22"/>
        </w:rPr>
        <w:t xml:space="preserve">From there, the existing ProjectionStore computes the dirty set since the last watermark and maintains the incrementally updated relationship graph, exactly as it does today for the single dashboard consumer. The new stage sits immediately downstream of that projection: the Lens Catalog (LensStore) is consulted for every registered lens, and each lens is served along one of two paths depending on its refresh_mode. A materialized lens maintains its own watermark and dirty-set side table, following the same pattern ProjectionStore already established, and is read directly at request time. A live-filtered lens instead applies its access_scope as a query-time filter over the shared projection, with no separate materialization to maintain.</w:t>
      </w:r>
    </w:p>
    <w:p>
      <w:pPr>
        <w:spacing w:after="200" w:line="320"/>
      </w:pPr>
      <w:r>
        <w:rPr>
          <w:color w:val="1C242C"/>
          <w:sz w:val="22"/>
          <w:szCs w:val="22"/>
        </w:rPr>
        <w:t xml:space="preserve">Both paths terminate in the same place: a governed lens read reaching whichever consumer registered it — today's dashboard and BI tooling, and, once Phase 4 lands, ML feature pipelines and external API integrations. No consumer is ever given direct, unscoped access to the entity or ontology stores; every read passes through a lens.</w:t>
      </w:r>
    </w:p>
    <w:p>
      <w:pPr>
        <w:pStyle w:val="Heading2"/>
        <w:spacing w:after="120" w:before="320"/>
      </w:pPr>
      <w:r>
        <w:rPr>
          <w:b/>
          <w:bCs/>
          <w:color w:val="1C242C"/>
          <w:sz w:val="24"/>
          <w:szCs w:val="24"/>
        </w:rPr>
        <w:t xml:space="preserve">Detailed flow diagram</w:t>
      </w:r>
    </w:p>
    <w:p>
      <w:pPr>
        <w:spacing w:after="200" w:line="320"/>
      </w:pPr>
      <w:r>
        <w:rPr>
          <w:color w:val="1C242C"/>
          <w:sz w:val="22"/>
          <w:szCs w:val="22"/>
        </w:rPr>
        <w:t xml:space="preserve">The figure below traces every hop the data takes, end to end, and marks which stages are already shipped and which this record proposes.</w:t>
      </w:r>
    </w:p>
    <w:p>
      <w:pPr>
        <w:spacing w:after="60"/>
        <w:jc w:val="center"/>
      </w:pPr>
      <w:r>
        <w:drawing>
          <wp:inline distT="0" distB="0" distL="0" distR="0">
            <wp:extent cx="5943600" cy="3571875"/>
            <wp:effectExtent t="0" r="0" b="0" l="0"/>
            <wp:docPr id="1" name="Architecture flow diagram" descr="Eight-stage flow from ingestion through entity resolution, ontology binding, and graph projection into a new lens catalog that branches into materialized and live-filtered paths, converges on access-scope enforcement, and reaches dashboard, ML, and API consumers." title="Hub and lens architectur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571875"/>
                    </a:xfrm>
                    <a:prstGeom prst="rect">
                      <a:avLst/>
                    </a:prstGeom>
                  </pic:spPr>
                </pic:pic>
              </a:graphicData>
            </a:graphic>
          </wp:inline>
        </w:drawing>
      </w:r>
    </w:p>
    <w:p>
      <w:pPr>
        <w:spacing w:after="260" w:before="60"/>
      </w:pPr>
      <w:r>
        <w:rPr>
          <w:i/>
          <w:iCs/>
          <w:color w:val="5B6672"/>
          <w:sz w:val="18"/>
          <w:szCs w:val="18"/>
        </w:rPr>
        <w:t xml:space="preserve">Figure 1. End-to-end flow from ingestion to consumer. Grey stages (1–5) are shipped today; amber stages (6–8) are the lens layer this record proposes. Dashed boxes are not built until Phase 4.</w:t>
      </w:r>
    </w:p>
    <w:p>
      <w:pPr>
        <w:pStyle w:val="Heading2"/>
        <w:spacing w:after="120" w:before="320"/>
      </w:pPr>
      <w:r>
        <w:rPr>
          <w:b/>
          <w:bCs/>
          <w:color w:val="1C242C"/>
          <w:sz w:val="24"/>
          <w:szCs w:val="24"/>
        </w:rPr>
        <w:t xml:space="preserve">Detailed flow walkthrough</w:t>
      </w:r>
    </w:p>
    <w:p>
      <w:pPr>
        <w:spacing w:after="200" w:line="320"/>
      </w:pPr>
      <w:r>
        <w:rPr>
          <w:color w:val="1C242C"/>
          <w:sz w:val="22"/>
          <w:szCs w:val="22"/>
        </w:rPr>
        <w:t xml:space="preserve">Each numbered stage in Figure 1 is expanded below: the store or module that owns it, and precisely what happens to the data as it passes through.</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900"/>
        <w:gridCol w:w="4700"/>
      </w:tblGrid>
      <w:tr>
        <w:trPr>
          <w:tblHeader/>
        </w:trPr>
        <w:tc>
          <w:tcPr>
            <w:tcW w:type="dxa" w:w="500"/>
            <w:shd w:fill="EFEAE0" w:val="clear"/>
            <w:tcMar>
              <w:top w:type="dxa" w:w="90"/>
              <w:left w:type="dxa" w:w="120"/>
              <w:bottom w:type="dxa" w:w="90"/>
              <w:right w:type="dxa" w:w="120"/>
            </w:tcMar>
            <w:vAlign w:val="center"/>
          </w:tcPr>
          <w:p>
            <w:pPr>
              <w:jc w:val="left"/>
            </w:pPr>
            <w:r>
              <w:rPr>
                <w:b/>
                <w:bCs/>
                <w:color w:val="1C242C"/>
                <w:sz w:val="20"/>
                <w:szCs w:val="20"/>
              </w:rPr>
              <w:t xml:space="preserve">#</w:t>
            </w:r>
          </w:p>
        </w:tc>
        <w:tc>
          <w:tcPr>
            <w:tcW w:type="dxa" w:w="2000"/>
            <w:shd w:fill="EFEAE0" w:val="clear"/>
            <w:tcMar>
              <w:top w:type="dxa" w:w="90"/>
              <w:left w:type="dxa" w:w="120"/>
              <w:bottom w:type="dxa" w:w="90"/>
              <w:right w:type="dxa" w:w="120"/>
            </w:tcMar>
            <w:vAlign w:val="center"/>
          </w:tcPr>
          <w:p>
            <w:pPr>
              <w:jc w:val="left"/>
            </w:pPr>
            <w:r>
              <w:rPr>
                <w:b/>
                <w:bCs/>
                <w:color w:val="1C242C"/>
                <w:sz w:val="20"/>
                <w:szCs w:val="20"/>
              </w:rPr>
              <w:t xml:space="preserve">Stage</w:t>
            </w:r>
          </w:p>
        </w:tc>
        <w:tc>
          <w:tcPr>
            <w:tcW w:type="dxa" w:w="2900"/>
            <w:shd w:fill="EFEAE0" w:val="clear"/>
            <w:tcMar>
              <w:top w:type="dxa" w:w="90"/>
              <w:left w:type="dxa" w:w="120"/>
              <w:bottom w:type="dxa" w:w="90"/>
              <w:right w:type="dxa" w:w="120"/>
            </w:tcMar>
            <w:vAlign w:val="center"/>
          </w:tcPr>
          <w:p>
            <w:pPr>
              <w:jc w:val="left"/>
            </w:pPr>
            <w:r>
              <w:rPr>
                <w:b/>
                <w:bCs/>
                <w:color w:val="1C242C"/>
                <w:sz w:val="20"/>
                <w:szCs w:val="20"/>
              </w:rPr>
              <w:t xml:space="preserve">Owner</w:t>
            </w:r>
          </w:p>
        </w:tc>
        <w:tc>
          <w:tcPr>
            <w:tcW w:type="dxa" w:w="4700"/>
            <w:shd w:fill="EFEAE0" w:val="clear"/>
            <w:tcMar>
              <w:top w:type="dxa" w:w="90"/>
              <w:left w:type="dxa" w:w="120"/>
              <w:bottom w:type="dxa" w:w="90"/>
              <w:right w:type="dxa" w:w="120"/>
            </w:tcMar>
            <w:vAlign w:val="center"/>
          </w:tcPr>
          <w:p>
            <w:pPr>
              <w:jc w:val="left"/>
            </w:pPr>
            <w:r>
              <w:rPr>
                <w:b/>
                <w:bCs/>
                <w:color w:val="1C242C"/>
                <w:sz w:val="20"/>
                <w:szCs w:val="20"/>
              </w:rPr>
              <w:t xml:space="preserve">What happens</w:t>
            </w:r>
          </w:p>
        </w:tc>
      </w:tr>
      <w:tr>
        <w:tc>
          <w:tcPr>
            <w:tcW w:type="dxa" w:w="5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1</w:t>
            </w:r>
          </w:p>
        </w:tc>
        <w:tc>
          <w:tcPr>
            <w:tcW w:type="dxa" w:w="2000"/>
            <w:tcMar>
              <w:top w:type="dxa" w:w="90"/>
              <w:left w:type="dxa" w:w="120"/>
              <w:bottom w:type="dxa" w:w="90"/>
              <w:right w:type="dxa" w:w="120"/>
            </w:tcMar>
            <w:vAlign w:val="center"/>
          </w:tcPr>
          <w:p>
            <w:pPr>
              <w:jc w:val="left"/>
            </w:pPr>
            <w:r>
              <w:rPr>
                <w:b w:val="false"/>
                <w:bCs w:val="false"/>
                <w:color w:val="1C242C"/>
                <w:sz w:val="20"/>
                <w:szCs w:val="20"/>
              </w:rPr>
              <w:t xml:space="preserve">Ingestion</w:t>
            </w:r>
          </w:p>
        </w:tc>
        <w:tc>
          <w:tcPr>
            <w:tcW w:type="dxa" w:w="2900"/>
            <w:tcMar>
              <w:top w:type="dxa" w:w="90"/>
              <w:left w:type="dxa" w:w="120"/>
              <w:bottom w:type="dxa" w:w="90"/>
              <w:right w:type="dxa" w:w="120"/>
            </w:tcMar>
            <w:vAlign w:val="center"/>
          </w:tcPr>
          <w:p>
            <w:pPr>
              <w:jc w:val="left"/>
            </w:pPr>
            <w:r>
              <w:rPr>
                <w:b w:val="false"/>
                <w:bCs w:val="false"/>
                <w:color w:val="1C242C"/>
                <w:sz w:val="20"/>
                <w:szCs w:val="20"/>
              </w:rPr>
              <w:t xml:space="preserve">pipeline/*</w:t>
            </w:r>
          </w:p>
        </w:tc>
        <w:tc>
          <w:tcPr>
            <w:tcW w:type="dxa" w:w="4700"/>
            <w:tcMar>
              <w:top w:type="dxa" w:w="90"/>
              <w:left w:type="dxa" w:w="120"/>
              <w:bottom w:type="dxa" w:w="90"/>
              <w:right w:type="dxa" w:w="120"/>
            </w:tcMar>
            <w:vAlign w:val="center"/>
          </w:tcPr>
          <w:p>
            <w:pPr>
              <w:jc w:val="left"/>
            </w:pPr>
            <w:r>
              <w:rPr>
                <w:b w:val="false"/>
                <w:bCs w:val="false"/>
                <w:color w:val="1C242C"/>
                <w:sz w:val="20"/>
                <w:szCs w:val="20"/>
              </w:rPr>
              <w:t xml:space="preserve">Raw records land, one job per source dataset, before any resolution or typing occurs.</w:t>
            </w:r>
          </w:p>
        </w:tc>
      </w:tr>
      <w:tr>
        <w:tc>
          <w:tcPr>
            <w:tcW w:type="dxa" w:w="5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2</w:t>
            </w:r>
          </w:p>
        </w:tc>
        <w:tc>
          <w:tcPr>
            <w:tcW w:type="dxa" w:w="20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Entity resolution</w:t>
            </w:r>
          </w:p>
        </w:tc>
        <w:tc>
          <w:tcPr>
            <w:tcW w:type="dxa" w:w="29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EntityStore / AdjudicationStore</w:t>
            </w:r>
          </w:p>
        </w:tc>
        <w:tc>
          <w:tcPr>
            <w:tcW w:type="dxa" w:w="47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Records are matched into golden entities by confidence score, with provenance kept per member; pairs below the confidence threshold queue to the human adjudication rather than auto-merging.</w:t>
            </w:r>
          </w:p>
        </w:tc>
      </w:tr>
      <w:tr>
        <w:tc>
          <w:tcPr>
            <w:tcW w:type="dxa" w:w="5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3</w:t>
            </w:r>
          </w:p>
        </w:tc>
        <w:tc>
          <w:tcPr>
            <w:tcW w:type="dxa" w:w="2000"/>
            <w:tcMar>
              <w:top w:type="dxa" w:w="90"/>
              <w:left w:type="dxa" w:w="120"/>
              <w:bottom w:type="dxa" w:w="90"/>
              <w:right w:type="dxa" w:w="120"/>
            </w:tcMar>
            <w:vAlign w:val="center"/>
          </w:tcPr>
          <w:p>
            <w:pPr>
              <w:jc w:val="left"/>
            </w:pPr>
            <w:r>
              <w:rPr>
                <w:b w:val="false"/>
                <w:bCs w:val="false"/>
                <w:color w:val="1C242C"/>
                <w:sz w:val="20"/>
                <w:szCs w:val="20"/>
              </w:rPr>
              <w:t xml:space="preserve">Deterministic edges</w:t>
            </w:r>
          </w:p>
        </w:tc>
        <w:tc>
          <w:tcPr>
            <w:tcW w:type="dxa" w:w="2900"/>
            <w:tcMar>
              <w:top w:type="dxa" w:w="90"/>
              <w:left w:type="dxa" w:w="120"/>
              <w:bottom w:type="dxa" w:w="90"/>
              <w:right w:type="dxa" w:w="120"/>
            </w:tcMar>
            <w:vAlign w:val="center"/>
          </w:tcPr>
          <w:p>
            <w:pPr>
              <w:jc w:val="left"/>
            </w:pPr>
            <w:r>
              <w:rPr>
                <w:b w:val="false"/>
                <w:bCs w:val="false"/>
                <w:color w:val="1C242C"/>
                <w:sz w:val="20"/>
                <w:szCs w:val="20"/>
              </w:rPr>
              <w:t xml:space="preserve">fk_edges.py</w:t>
            </w:r>
          </w:p>
        </w:tc>
        <w:tc>
          <w:tcPr>
            <w:tcW w:type="dxa" w:w="4700"/>
            <w:tcMar>
              <w:top w:type="dxa" w:w="90"/>
              <w:left w:type="dxa" w:w="120"/>
              <w:bottom w:type="dxa" w:w="90"/>
              <w:right w:type="dxa" w:w="120"/>
            </w:tcMar>
            <w:vAlign w:val="center"/>
          </w:tcPr>
          <w:p>
            <w:pPr>
              <w:jc w:val="left"/>
            </w:pPr>
            <w:r>
              <w:rPr>
                <w:b w:val="false"/>
                <w:bCs w:val="false"/>
                <w:color w:val="1C242C"/>
                <w:sz w:val="20"/>
                <w:szCs w:val="20"/>
              </w:rPr>
              <w:t xml:space="preserve">Exact, case-insensitive attribute matches are linked at confidence 1.0 with no LLM involved, typed against the declared catalog in RelationshipTypeStore.</w:t>
            </w:r>
          </w:p>
        </w:tc>
      </w:tr>
      <w:tr>
        <w:tc>
          <w:tcPr>
            <w:tcW w:type="dxa" w:w="5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4</w:t>
            </w:r>
          </w:p>
        </w:tc>
        <w:tc>
          <w:tcPr>
            <w:tcW w:type="dxa" w:w="20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Ontology binding</w:t>
            </w:r>
          </w:p>
        </w:tc>
        <w:tc>
          <w:tcPr>
            <w:tcW w:type="dxa" w:w="29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OntologyStore / AxiomStore / RelationshipTypeStore / VersionStore</w:t>
            </w:r>
          </w:p>
        </w:tc>
        <w:tc>
          <w:tcPr>
            <w:tcW w:type="dxa" w:w="47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Every resolved entity and edge is checked against its declared type, the axioms constraining that type, and the current ontology version; violations are logged rather than silently dropped.</w:t>
            </w:r>
          </w:p>
        </w:tc>
      </w:tr>
      <w:tr>
        <w:tc>
          <w:tcPr>
            <w:tcW w:type="dxa" w:w="5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5</w:t>
            </w:r>
          </w:p>
        </w:tc>
        <w:tc>
          <w:tcPr>
            <w:tcW w:type="dxa" w:w="2000"/>
            <w:tcMar>
              <w:top w:type="dxa" w:w="90"/>
              <w:left w:type="dxa" w:w="120"/>
              <w:bottom w:type="dxa" w:w="90"/>
              <w:right w:type="dxa" w:w="120"/>
            </w:tcMar>
            <w:vAlign w:val="center"/>
          </w:tcPr>
          <w:p>
            <w:pPr>
              <w:jc w:val="left"/>
            </w:pPr>
            <w:r>
              <w:rPr>
                <w:b w:val="false"/>
                <w:bCs w:val="false"/>
                <w:color w:val="1C242C"/>
                <w:sz w:val="20"/>
                <w:szCs w:val="20"/>
              </w:rPr>
              <w:t xml:space="preserve">Graph projection</w:t>
            </w:r>
          </w:p>
        </w:tc>
        <w:tc>
          <w:tcPr>
            <w:tcW w:type="dxa" w:w="2900"/>
            <w:tcMar>
              <w:top w:type="dxa" w:w="90"/>
              <w:left w:type="dxa" w:w="120"/>
              <w:bottom w:type="dxa" w:w="90"/>
              <w:right w:type="dxa" w:w="120"/>
            </w:tcMar>
            <w:vAlign w:val="center"/>
          </w:tcPr>
          <w:p>
            <w:pPr>
              <w:jc w:val="left"/>
            </w:pPr>
            <w:r>
              <w:rPr>
                <w:b w:val="false"/>
                <w:bCs w:val="false"/>
                <w:color w:val="1C242C"/>
                <w:sz w:val="20"/>
                <w:szCs w:val="20"/>
              </w:rPr>
              <w:t xml:space="preserve">ProjectionStore</w:t>
            </w:r>
          </w:p>
        </w:tc>
        <w:tc>
          <w:tcPr>
            <w:tcW w:type="dxa" w:w="4700"/>
            <w:tcMar>
              <w:top w:type="dxa" w:w="90"/>
              <w:left w:type="dxa" w:w="120"/>
              <w:bottom w:type="dxa" w:w="90"/>
              <w:right w:type="dxa" w:w="120"/>
            </w:tcMar>
            <w:vAlign w:val="center"/>
          </w:tcPr>
          <w:p>
            <w:pPr>
              <w:jc w:val="left"/>
            </w:pPr>
            <w:r>
              <w:rPr>
                <w:b w:val="false"/>
                <w:bCs w:val="false"/>
                <w:color w:val="1C242C"/>
                <w:sz w:val="20"/>
                <w:szCs w:val="20"/>
              </w:rPr>
              <w:t xml:space="preserve">The dirty set since the last watermark is computed inside Postgres, never by diffing the graph, and the relationship graph is rebuilt incrementally from just that set; tombstones remove ids no longer present upstream.</w:t>
            </w:r>
          </w:p>
        </w:tc>
      </w:tr>
      <w:tr>
        <w:tc>
          <w:tcPr>
            <w:tcW w:type="dxa" w:w="5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6</w:t>
            </w:r>
          </w:p>
        </w:tc>
        <w:tc>
          <w:tcPr>
            <w:tcW w:type="dxa" w:w="20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Lens catalog consult</w:t>
            </w:r>
          </w:p>
        </w:tc>
        <w:tc>
          <w:tcPr>
            <w:tcW w:type="dxa" w:w="29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LensStore (new)</w:t>
            </w:r>
          </w:p>
        </w:tc>
        <w:tc>
          <w:tcPr>
            <w:tcW w:type="dxa" w:w="47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Every registered lens is read from the catalog; its consumer_type, source_types, access_scope, refresh_mode, and schema_version determine how it will be served.</w:t>
            </w:r>
          </w:p>
        </w:tc>
      </w:tr>
      <w:tr>
        <w:tc>
          <w:tcPr>
            <w:tcW w:type="dxa" w:w="5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7a</w:t>
            </w:r>
          </w:p>
        </w:tc>
        <w:tc>
          <w:tcPr>
            <w:tcW w:type="dxa" w:w="2000"/>
            <w:tcMar>
              <w:top w:type="dxa" w:w="90"/>
              <w:left w:type="dxa" w:w="120"/>
              <w:bottom w:type="dxa" w:w="90"/>
              <w:right w:type="dxa" w:w="120"/>
            </w:tcMar>
            <w:vAlign w:val="center"/>
          </w:tcPr>
          <w:p>
            <w:pPr>
              <w:jc w:val="left"/>
            </w:pPr>
            <w:r>
              <w:rPr>
                <w:b w:val="false"/>
                <w:bCs w:val="false"/>
                <w:color w:val="1C242C"/>
                <w:sz w:val="20"/>
                <w:szCs w:val="20"/>
              </w:rPr>
              <w:t xml:space="preserve">Materialized lens</w:t>
            </w:r>
          </w:p>
        </w:tc>
        <w:tc>
          <w:tcPr>
            <w:tcW w:type="dxa" w:w="2900"/>
            <w:tcMar>
              <w:top w:type="dxa" w:w="90"/>
              <w:left w:type="dxa" w:w="120"/>
              <w:bottom w:type="dxa" w:w="90"/>
              <w:right w:type="dxa" w:w="120"/>
            </w:tcMar>
            <w:vAlign w:val="center"/>
          </w:tcPr>
          <w:p>
            <w:pPr>
              <w:jc w:val="left"/>
            </w:pPr>
            <w:r>
              <w:rPr>
                <w:b w:val="false"/>
                <w:bCs w:val="false"/>
                <w:color w:val="1C242C"/>
                <w:sz w:val="20"/>
                <w:szCs w:val="20"/>
              </w:rPr>
              <w:t xml:space="preserve">New — extends ProjectionStore's pattern</w:t>
            </w:r>
          </w:p>
        </w:tc>
        <w:tc>
          <w:tcPr>
            <w:tcW w:type="dxa" w:w="4700"/>
            <w:tcMar>
              <w:top w:type="dxa" w:w="90"/>
              <w:left w:type="dxa" w:w="120"/>
              <w:bottom w:type="dxa" w:w="90"/>
              <w:right w:type="dxa" w:w="120"/>
            </w:tcMar>
            <w:vAlign w:val="center"/>
          </w:tcPr>
          <w:p>
            <w:pPr>
              <w:jc w:val="left"/>
            </w:pPr>
            <w:r>
              <w:rPr>
                <w:b w:val="false"/>
                <w:bCs w:val="false"/>
                <w:color w:val="1C242C"/>
                <w:sz w:val="20"/>
                <w:szCs w:val="20"/>
              </w:rPr>
              <w:t xml:space="preserve">Lenses with refresh_mode = materialized maintain their own watermark and dirty-set side table, precomposing the view ahead of any request; serves dashboard, BI, and ML feature consumers.</w:t>
            </w:r>
          </w:p>
        </w:tc>
      </w:tr>
      <w:tr>
        <w:tc>
          <w:tcPr>
            <w:tcW w:type="dxa" w:w="5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7b</w:t>
            </w:r>
          </w:p>
        </w:tc>
        <w:tc>
          <w:tcPr>
            <w:tcW w:type="dxa" w:w="20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Live-filtered lens</w:t>
            </w:r>
          </w:p>
        </w:tc>
        <w:tc>
          <w:tcPr>
            <w:tcW w:type="dxa" w:w="29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New</w:t>
            </w:r>
          </w:p>
        </w:tc>
        <w:tc>
          <w:tcPr>
            <w:tcW w:type="dxa" w:w="47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Lenses with refresh_mode = live apply access_scope as a query-time filter over the shared projection, with nothing separate to maintain; serves ad hoc, exploratory, and external API consumers.</w:t>
            </w:r>
          </w:p>
        </w:tc>
      </w:tr>
      <w:tr>
        <w:tc>
          <w:tcPr>
            <w:tcW w:type="dxa" w:w="5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8</w:t>
            </w:r>
          </w:p>
        </w:tc>
        <w:tc>
          <w:tcPr>
            <w:tcW w:type="dxa" w:w="2000"/>
            <w:tcMar>
              <w:top w:type="dxa" w:w="90"/>
              <w:left w:type="dxa" w:w="120"/>
              <w:bottom w:type="dxa" w:w="90"/>
              <w:right w:type="dxa" w:w="120"/>
            </w:tcMar>
            <w:vAlign w:val="center"/>
          </w:tcPr>
          <w:p>
            <w:pPr>
              <w:jc w:val="left"/>
            </w:pPr>
            <w:r>
              <w:rPr>
                <w:b w:val="false"/>
                <w:bCs w:val="false"/>
                <w:color w:val="1C242C"/>
                <w:sz w:val="20"/>
                <w:szCs w:val="20"/>
              </w:rPr>
              <w:t xml:space="preserve">Access-scope enforcement</w:t>
            </w:r>
          </w:p>
        </w:tc>
        <w:tc>
          <w:tcPr>
            <w:tcW w:type="dxa" w:w="2900"/>
            <w:tcMar>
              <w:top w:type="dxa" w:w="90"/>
              <w:left w:type="dxa" w:w="120"/>
              <w:bottom w:type="dxa" w:w="90"/>
              <w:right w:type="dxa" w:w="120"/>
            </w:tcMar>
            <w:vAlign w:val="center"/>
          </w:tcPr>
          <w:p>
            <w:pPr>
              <w:jc w:val="left"/>
            </w:pPr>
            <w:r>
              <w:rPr>
                <w:b w:val="false"/>
                <w:bCs w:val="false"/>
                <w:color w:val="1C242C"/>
                <w:sz w:val="20"/>
                <w:szCs w:val="20"/>
              </w:rPr>
              <w:t xml:space="preserve">New</w:t>
            </w:r>
          </w:p>
        </w:tc>
        <w:tc>
          <w:tcPr>
            <w:tcW w:type="dxa" w:w="4700"/>
            <w:tcMar>
              <w:top w:type="dxa" w:w="90"/>
              <w:left w:type="dxa" w:w="120"/>
              <w:bottom w:type="dxa" w:w="90"/>
              <w:right w:type="dxa" w:w="120"/>
            </w:tcMar>
            <w:vAlign w:val="center"/>
          </w:tcPr>
          <w:p>
            <w:pPr>
              <w:jc w:val="left"/>
            </w:pPr>
            <w:r>
              <w:rPr>
                <w:b w:val="false"/>
                <w:bCs w:val="false"/>
                <w:color w:val="1C242C"/>
                <w:sz w:val="20"/>
                <w:szCs w:val="20"/>
              </w:rPr>
              <w:t xml:space="preserve">Whichever path served the lens, the same per-type attribute allowlist is applied before the data reaches the consumer — one rule, enforced identically on both paths.</w:t>
            </w:r>
          </w:p>
        </w:tc>
      </w:tr>
    </w:tbl>
    <w:p>
      <w:pPr>
        <w:spacing w:after="260" w:before="60"/>
      </w:pPr>
      <w:r>
        <w:rPr>
          <w:i/>
          <w:iCs/>
          <w:color w:val="5B6672"/>
          <w:sz w:val="18"/>
          <w:szCs w:val="18"/>
        </w:rPr>
        <w:t xml:space="preserve">Table 2. Per-stage detail for the flow in Figure 1.</w:t>
      </w:r>
    </w:p>
    <w:p>
      <w:pPr>
        <w:pStyle w:val="Heading1"/>
        <w:pBdr>
          <w:bottom w:val="single" w:color="9C5A1E" w:sz="6" w:space="4"/>
        </w:pBdr>
        <w:spacing w:after="200" w:before="480"/>
      </w:pPr>
      <w:bookmarkStart w:name="sec7" w:id="1"/>
      <w:r>
        <w:rPr>
          <w:b/>
          <w:bCs/>
          <w:color w:val="1C242C"/>
          <w:sz w:val="30"/>
          <w:szCs w:val="30"/>
        </w:rPr>
        <w:t xml:space="preserve">7. Key Decision — Materialization Strategy</w:t>
      </w:r>
      <w:bookmarkEnd w:id="1"/>
    </w:p>
    <w:p>
      <w:pPr>
        <w:spacing w:after="200" w:line="320"/>
      </w:pPr>
      <w:r>
        <w:rPr>
          <w:color w:val="1C242C"/>
          <w:sz w:val="22"/>
          <w:szCs w:val="22"/>
        </w:rPr>
        <w:t xml:space="preserve">The single largest open architectural question this record resolves is how a lens gets materialized. Two pure strategies were considered — always materialize, following DashboardModelStore's existing convention, or always filter live, treating every lens as a query over the shared projection — and both were rejected in favor of a hybrid, per-lens choice governed by the lens's own consumer_type and expected read volume.</w:t>
      </w:r>
    </w:p>
    <w:p>
      <w:pPr>
        <w:pStyle w:val="Heading2"/>
        <w:spacing w:after="120" w:before="320"/>
      </w:pPr>
      <w:r>
        <w:rPr>
          <w:b/>
          <w:bCs/>
          <w:color w:val="1C242C"/>
          <w:sz w:val="24"/>
          <w:szCs w:val="24"/>
        </w:rPr>
        <w:t xml:space="preserve">Comparison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350"/>
        <w:gridCol w:w="3350"/>
      </w:tblGrid>
      <w:tr>
        <w:trPr>
          <w:tblHeader/>
        </w:trPr>
        <w:tc>
          <w:tcPr>
            <w:tcW w:type="dxa" w:w="2400"/>
            <w:shd w:fill="EFEAE0" w:val="clear"/>
            <w:tcMar>
              <w:top w:type="dxa" w:w="90"/>
              <w:left w:type="dxa" w:w="120"/>
              <w:bottom w:type="dxa" w:w="90"/>
              <w:right w:type="dxa" w:w="120"/>
            </w:tcMar>
            <w:vAlign w:val="center"/>
          </w:tcPr>
          <w:p>
            <w:pPr>
              <w:jc w:val="left"/>
            </w:pPr>
            <w:r>
              <w:rPr>
                <w:b/>
                <w:bCs/>
                <w:color w:val="1C242C"/>
                <w:sz w:val="20"/>
                <w:szCs w:val="20"/>
              </w:rPr>
              <w:t xml:space="preserve"/>
            </w:r>
          </w:p>
        </w:tc>
        <w:tc>
          <w:tcPr>
            <w:tcW w:type="dxa" w:w="3350"/>
            <w:shd w:fill="EFEAE0" w:val="clear"/>
            <w:tcMar>
              <w:top w:type="dxa" w:w="90"/>
              <w:left w:type="dxa" w:w="120"/>
              <w:bottom w:type="dxa" w:w="90"/>
              <w:right w:type="dxa" w:w="120"/>
            </w:tcMar>
            <w:vAlign w:val="center"/>
          </w:tcPr>
          <w:p>
            <w:pPr>
              <w:jc w:val="left"/>
            </w:pPr>
            <w:r>
              <w:rPr>
                <w:b/>
                <w:bCs/>
                <w:color w:val="1C242C"/>
                <w:sz w:val="20"/>
                <w:szCs w:val="20"/>
              </w:rPr>
              <w:t xml:space="preserve">Materialized</w:t>
            </w:r>
          </w:p>
        </w:tc>
        <w:tc>
          <w:tcPr>
            <w:tcW w:type="dxa" w:w="3350"/>
            <w:shd w:fill="EFEAE0" w:val="clear"/>
            <w:tcMar>
              <w:top w:type="dxa" w:w="90"/>
              <w:left w:type="dxa" w:w="120"/>
              <w:bottom w:type="dxa" w:w="90"/>
              <w:right w:type="dxa" w:w="120"/>
            </w:tcMar>
            <w:vAlign w:val="center"/>
          </w:tcPr>
          <w:p>
            <w:pPr>
              <w:jc w:val="left"/>
            </w:pPr>
            <w:r>
              <w:rPr>
                <w:b/>
                <w:bCs/>
                <w:color w:val="1C242C"/>
                <w:sz w:val="20"/>
                <w:szCs w:val="20"/>
              </w:rPr>
              <w:t xml:space="preserve">Live-filtered</w:t>
            </w:r>
          </w:p>
        </w:tc>
      </w:tr>
      <w:tr>
        <w:tc>
          <w:tcPr>
            <w:tcW w:type="dxa" w:w="24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Freshness</w:t>
            </w:r>
          </w:p>
        </w:tc>
        <w:tc>
          <w:tcPr>
            <w:tcW w:type="dxa" w:w="3350"/>
            <w:tcMar>
              <w:top w:type="dxa" w:w="90"/>
              <w:left w:type="dxa" w:w="120"/>
              <w:bottom w:type="dxa" w:w="90"/>
              <w:right w:type="dxa" w:w="120"/>
            </w:tcMar>
            <w:vAlign w:val="center"/>
          </w:tcPr>
          <w:p>
            <w:pPr>
              <w:jc w:val="left"/>
            </w:pPr>
            <w:r>
              <w:rPr>
                <w:b w:val="false"/>
                <w:bCs w:val="false"/>
                <w:color w:val="1C242C"/>
                <w:sz w:val="20"/>
                <w:szCs w:val="20"/>
              </w:rPr>
              <w:t xml:space="preserve">Bounded by refresh cadence</w:t>
            </w:r>
          </w:p>
        </w:tc>
        <w:tc>
          <w:tcPr>
            <w:tcW w:type="dxa" w:w="3350"/>
            <w:tcMar>
              <w:top w:type="dxa" w:w="90"/>
              <w:left w:type="dxa" w:w="120"/>
              <w:bottom w:type="dxa" w:w="90"/>
              <w:right w:type="dxa" w:w="120"/>
            </w:tcMar>
            <w:vAlign w:val="center"/>
          </w:tcPr>
          <w:p>
            <w:pPr>
              <w:jc w:val="left"/>
            </w:pPr>
            <w:r>
              <w:rPr>
                <w:b w:val="false"/>
                <w:bCs w:val="false"/>
                <w:color w:val="1C242C"/>
                <w:sz w:val="20"/>
                <w:szCs w:val="20"/>
              </w:rPr>
              <w:t xml:space="preserve">Always current</w:t>
            </w:r>
          </w:p>
        </w:tc>
      </w:tr>
      <w:tr>
        <w:tc>
          <w:tcPr>
            <w:tcW w:type="dxa" w:w="24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Read cost</w:t>
            </w:r>
          </w:p>
        </w:tc>
        <w:tc>
          <w:tcPr>
            <w:tcW w:type="dxa" w:w="335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Low — precomposed</w:t>
            </w:r>
          </w:p>
        </w:tc>
        <w:tc>
          <w:tcPr>
            <w:tcW w:type="dxa" w:w="335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Higher — computed per request</w:t>
            </w:r>
          </w:p>
        </w:tc>
      </w:tr>
      <w:tr>
        <w:tc>
          <w:tcPr>
            <w:tcW w:type="dxa" w:w="24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Reshaping capability</w:t>
            </w:r>
          </w:p>
        </w:tc>
        <w:tc>
          <w:tcPr>
            <w:tcW w:type="dxa" w:w="3350"/>
            <w:tcMar>
              <w:top w:type="dxa" w:w="90"/>
              <w:left w:type="dxa" w:w="120"/>
              <w:bottom w:type="dxa" w:w="90"/>
              <w:right w:type="dxa" w:w="120"/>
            </w:tcMar>
            <w:vAlign w:val="center"/>
          </w:tcPr>
          <w:p>
            <w:pPr>
              <w:jc w:val="left"/>
            </w:pPr>
            <w:r>
              <w:rPr>
                <w:b w:val="false"/>
                <w:bCs w:val="false"/>
                <w:color w:val="1C242C"/>
                <w:sz w:val="20"/>
                <w:szCs w:val="20"/>
              </w:rPr>
              <w:t xml:space="preserve">Supports heavy aggregation and feature-building</w:t>
            </w:r>
          </w:p>
        </w:tc>
        <w:tc>
          <w:tcPr>
            <w:tcW w:type="dxa" w:w="3350"/>
            <w:tcMar>
              <w:top w:type="dxa" w:w="90"/>
              <w:left w:type="dxa" w:w="120"/>
              <w:bottom w:type="dxa" w:w="90"/>
              <w:right w:type="dxa" w:w="120"/>
            </w:tcMar>
            <w:vAlign w:val="center"/>
          </w:tcPr>
          <w:p>
            <w:pPr>
              <w:jc w:val="left"/>
            </w:pPr>
            <w:r>
              <w:rPr>
                <w:b w:val="false"/>
                <w:bCs w:val="false"/>
                <w:color w:val="1C242C"/>
                <w:sz w:val="20"/>
                <w:szCs w:val="20"/>
              </w:rPr>
              <w:t xml:space="preserve">Limited to filter and project operations</w:t>
            </w:r>
          </w:p>
        </w:tc>
      </w:tr>
      <w:tr>
        <w:tc>
          <w:tcPr>
            <w:tcW w:type="dxa" w:w="24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Operational overhead</w:t>
            </w:r>
          </w:p>
        </w:tc>
        <w:tc>
          <w:tcPr>
            <w:tcW w:type="dxa" w:w="335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One watermark and side table per lens</w:t>
            </w:r>
          </w:p>
        </w:tc>
        <w:tc>
          <w:tcPr>
            <w:tcW w:type="dxa" w:w="335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None to maintain</w:t>
            </w:r>
          </w:p>
        </w:tc>
      </w:tr>
      <w:tr>
        <w:tc>
          <w:tcPr>
            <w:tcW w:type="dxa" w:w="24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Best suited for</w:t>
            </w:r>
          </w:p>
        </w:tc>
        <w:tc>
          <w:tcPr>
            <w:tcW w:type="dxa" w:w="3350"/>
            <w:tcMar>
              <w:top w:type="dxa" w:w="90"/>
              <w:left w:type="dxa" w:w="120"/>
              <w:bottom w:type="dxa" w:w="90"/>
              <w:right w:type="dxa" w:w="120"/>
            </w:tcMar>
            <w:vAlign w:val="center"/>
          </w:tcPr>
          <w:p>
            <w:pPr>
              <w:jc w:val="left"/>
            </w:pPr>
            <w:r>
              <w:rPr>
                <w:b w:val="false"/>
                <w:bCs w:val="false"/>
                <w:color w:val="1C242C"/>
                <w:sz w:val="20"/>
                <w:szCs w:val="20"/>
              </w:rPr>
              <w:t xml:space="preserve">Dashboard, BI, ML feature consumers</w:t>
            </w:r>
          </w:p>
        </w:tc>
        <w:tc>
          <w:tcPr>
            <w:tcW w:type="dxa" w:w="3350"/>
            <w:tcMar>
              <w:top w:type="dxa" w:w="90"/>
              <w:left w:type="dxa" w:w="120"/>
              <w:bottom w:type="dxa" w:w="90"/>
              <w:right w:type="dxa" w:w="120"/>
            </w:tcMar>
            <w:vAlign w:val="center"/>
          </w:tcPr>
          <w:p>
            <w:pPr>
              <w:jc w:val="left"/>
            </w:pPr>
            <w:r>
              <w:rPr>
                <w:b w:val="false"/>
                <w:bCs w:val="false"/>
                <w:color w:val="1C242C"/>
                <w:sz w:val="20"/>
                <w:szCs w:val="20"/>
              </w:rPr>
              <w:t xml:space="preserve">External API, exploratory, low-traffic consumers</w:t>
            </w:r>
          </w:p>
        </w:tc>
      </w:tr>
    </w:tbl>
    <w:p>
      <w:pPr>
        <w:spacing w:after="260" w:before="60"/>
      </w:pPr>
      <w:r>
        <w:rPr>
          <w:i/>
          <w:iCs/>
          <w:color w:val="5B6672"/>
          <w:sz w:val="18"/>
          <w:szCs w:val="18"/>
        </w:rPr>
        <w:t xml:space="preserve">Table 3. Materialized versus live-filtered lens strategies.</w:t>
      </w:r>
    </w:p>
    <w:p>
      <w:pPr>
        <w:spacing w:after="200" w:line="320"/>
      </w:pPr>
      <w:r>
        <w:rPr>
          <w:color w:val="1C242C"/>
          <w:sz w:val="22"/>
          <w:szCs w:val="22"/>
        </w:rPr>
        <w:t xml:space="preserve">The decision reached is a hybrid: materialize lenses for high-read, shaping-heavy consumers — dashboard, BI, and ML — and serve low-volume or ad hoc consumers, principally external API access and exploratory querying, through live filtering. This is consistent with Aryx's existing conventions elsewhere in the store layer, where DashboardModelStore and GraphIntakeStore both favor insert-only, snapshot-based persistence over computing everything at read time, and it avoids the operational cost of maintaining a watermark for every low-traffic consumer that would gain little from precomposition.</w:t>
      </w:r>
    </w:p>
    <w:p>
      <w:pPr>
        <w:spacing w:after="200" w:line="320"/>
      </w:pPr>
      <w:r>
        <w:rPr>
          <w:color w:val="1C242C"/>
          <w:sz w:val="22"/>
          <w:szCs w:val="22"/>
        </w:rPr>
        <w:t xml:space="preserve">The explicitly accepted risk of this decision is that it introduces two distinct read paths — a materialized fetch and a filtered query — where a single uniform model would have less surface area to maintain. This tradeoff is revisited in Section 11 as an open risk rather than treated as fully closed.</w:t>
      </w:r>
    </w:p>
    <w:p>
      <w:pPr>
        <w:pStyle w:val="Heading1"/>
        <w:pBdr>
          <w:bottom w:val="single" w:color="9C5A1E" w:sz="6" w:space="4"/>
        </w:pBdr>
        <w:spacing w:after="200" w:before="480"/>
      </w:pPr>
      <w:bookmarkStart w:name="sec8" w:id="1"/>
      <w:r>
        <w:rPr>
          <w:b/>
          <w:bCs/>
          <w:color w:val="1C242C"/>
          <w:sz w:val="30"/>
          <w:szCs w:val="30"/>
        </w:rPr>
        <w:t xml:space="preserve">8. Access Control &amp; Ontology Versioning</w:t>
      </w:r>
      <w:bookmarkEnd w:id="1"/>
    </w:p>
    <w:p>
      <w:pPr>
        <w:pStyle w:val="Heading2"/>
        <w:spacing w:after="120" w:before="320"/>
      </w:pPr>
      <w:r>
        <w:rPr>
          <w:b/>
          <w:bCs/>
          <w:color w:val="1C242C"/>
          <w:sz w:val="24"/>
          <w:szCs w:val="24"/>
        </w:rPr>
        <w:t xml:space="preserve">Access control</w:t>
      </w:r>
    </w:p>
    <w:p>
      <w:pPr>
        <w:spacing w:after="200" w:line="320"/>
      </w:pPr>
      <w:r>
        <w:rPr>
          <w:color w:val="1C242C"/>
          <w:sz w:val="22"/>
          <w:szCs w:val="22"/>
        </w:rPr>
        <w:t xml:space="preserve">The proposed access-control model extends the current workspace_id boundary by resolving each lens's access_scope field to a concrete column- and attribute-level allowlist per ontology type. Critically, this reuses the ontology's own type and attribute model as the scoping vocabulary, rather than introducing a separate authorization schema that would need to be kept independently in sync with the ontology as it evolves. A BI lens's access_scope, for instance, can name the aggregate revenue attribute on a Customer type while omitting that same type's contact and identity attributes, and the enforcement point is identical whether the lens is materialized or live-filtered — the allowlist is applied at materialization time in the first case and at query-build time in the second.</w:t>
      </w:r>
    </w:p>
    <w:p>
      <w:pPr>
        <w:pStyle w:val="Heading2"/>
        <w:spacing w:after="120" w:before="320"/>
      </w:pPr>
      <w:r>
        <w:rPr>
          <w:b/>
          <w:bCs/>
          <w:color w:val="1C242C"/>
          <w:sz w:val="24"/>
          <w:szCs w:val="24"/>
        </w:rPr>
        <w:t xml:space="preserve">Ontology versioning</w:t>
      </w:r>
    </w:p>
    <w:p>
      <w:pPr>
        <w:spacing w:after="200" w:line="320"/>
      </w:pPr>
      <w:r>
        <w:rPr>
          <w:color w:val="1C242C"/>
          <w:sz w:val="22"/>
          <w:szCs w:val="22"/>
        </w:rPr>
        <w:t xml:space="preserve">The proposed versioning model closes Gap 3 by pinning each lens's schema_version to the ontology version it was defined against. Every subsequent version cut, recorded through the existing VersionStore mechanism, triggers a compatibility check against every currently registered lens in the catalog. A break — a source type or attribute a lens depends on being removed or renamed — surfaces as a non-blocking warning in the first instance, consistent with the platform's broader principle that no action hard-stops without first passing through an approval flow. This gives operators visibility into which lenses a pending ontology change would affect before that change is allowed to silently orphan them in production.</w:t>
      </w:r>
    </w:p>
    <w:p>
      <w:pPr>
        <w:pStyle w:val="Heading1"/>
        <w:pBdr>
          <w:bottom w:val="single" w:color="9C5A1E" w:sz="6" w:space="4"/>
        </w:pBdr>
        <w:spacing w:after="200" w:before="480"/>
      </w:pPr>
      <w:bookmarkStart w:name="sec9" w:id="1"/>
      <w:r>
        <w:rPr>
          <w:b/>
          <w:bCs/>
          <w:color w:val="1C242C"/>
          <w:sz w:val="30"/>
          <w:szCs w:val="30"/>
        </w:rPr>
        <w:t xml:space="preserve">9. Phased Rollout Plan</w:t>
      </w:r>
      <w:bookmarkEnd w:id="1"/>
    </w:p>
    <w:p>
      <w:pPr>
        <w:spacing w:after="200" w:line="320"/>
      </w:pPr>
      <w:r>
        <w:rPr>
          <w:color w:val="1C242C"/>
          <w:sz w:val="22"/>
          <w:szCs w:val="22"/>
        </w:rPr>
        <w:t xml:space="preserve">The rollout is sequenced into four phases. Each phase is scoped so that it ships independently usable value on its own; none of the four depends on the phase that follows it in order to be worth deploying, which allows the program to pause after any phase without leaving the system in a half-finished state.</w:t>
      </w:r>
    </w:p>
    <w:p>
      <w:pPr>
        <w:pStyle w:val="Heading2"/>
        <w:spacing w:after="120" w:before="320"/>
      </w:pPr>
      <w:r>
        <w:rPr>
          <w:b/>
          <w:bCs/>
          <w:color w:val="1C242C"/>
          <w:sz w:val="24"/>
          <w:szCs w:val="24"/>
        </w:rPr>
        <w:t xml:space="preserve">Phase 1 — Generalize the catalog</w:t>
      </w:r>
    </w:p>
    <w:p>
      <w:pPr>
        <w:spacing w:after="200" w:line="320"/>
      </w:pPr>
      <w:r>
        <w:rPr>
          <w:color w:val="1C242C"/>
          <w:sz w:val="22"/>
          <w:szCs w:val="22"/>
        </w:rPr>
        <w:t xml:space="preserve">Introduce LensStore as described in Section 5, and migrate DashboardModelStore's existing behavior into it as the first registered lens, rather than continuing to treat the dashboard consumer as a permanent special case living outside the catalog. At the end of this phase, the dashboard consumer's runtime behavior is unchanged, but it is now visible and governable through the same catalog every future lens will use.</w:t>
      </w:r>
    </w:p>
    <w:p>
      <w:pPr>
        <w:pStyle w:val="Heading2"/>
        <w:spacing w:after="120" w:before="320"/>
      </w:pPr>
      <w:r>
        <w:rPr>
          <w:b/>
          <w:bCs/>
          <w:color w:val="1C242C"/>
          <w:sz w:val="24"/>
          <w:szCs w:val="24"/>
        </w:rPr>
        <w:t xml:space="preserve">Phase 2 — Per-lens materialization</w:t>
      </w:r>
    </w:p>
    <w:p>
      <w:pPr>
        <w:spacing w:after="200" w:line="320"/>
      </w:pPr>
      <w:r>
        <w:rPr>
          <w:color w:val="1C242C"/>
          <w:sz w:val="22"/>
          <w:szCs w:val="22"/>
        </w:rPr>
        <w:t xml:space="preserve">Extend ProjectionStore's existing watermark and dirty-set pattern so that it can be instantiated per lens rather than once per workspace, and add the live-filtered read path for lenses whose consumer_type and expected volume do not justify a maintained watermark. The operative decision at this phase, made once per lens as it is registered, is whether that lens is high-volume enough to justify the ongoing cost of a maintained watermark; lenses that are not take the live-filtered path instead.</w:t>
      </w:r>
    </w:p>
    <w:p>
      <w:pPr>
        <w:pStyle w:val="Heading2"/>
        <w:spacing w:after="120" w:before="320"/>
      </w:pPr>
      <w:r>
        <w:rPr>
          <w:b/>
          <w:bCs/>
          <w:color w:val="1C242C"/>
          <w:sz w:val="24"/>
          <w:szCs w:val="24"/>
        </w:rPr>
        <w:t xml:space="preserve">Phase 3 — Govern access and versions</w:t>
      </w:r>
    </w:p>
    <w:p>
      <w:pPr>
        <w:spacing w:after="200" w:line="320"/>
      </w:pPr>
      <w:r>
        <w:rPr>
          <w:color w:val="1C242C"/>
          <w:sz w:val="22"/>
          <w:szCs w:val="22"/>
        </w:rPr>
        <w:t xml:space="preserve">Implement attribute-level access_scope enforcement at both the materialized and live-filtered read paths, and implement the ontology-version compatibility check described in Section 8 so that every version cut is checked against the full lens catalog before completing.</w:t>
      </w:r>
    </w:p>
    <w:p>
      <w:pPr>
        <w:pStyle w:val="Heading2"/>
        <w:spacing w:after="120" w:before="320"/>
      </w:pPr>
      <w:r>
        <w:rPr>
          <w:b/>
          <w:bCs/>
          <w:color w:val="1C242C"/>
          <w:sz w:val="24"/>
          <w:szCs w:val="24"/>
        </w:rPr>
        <w:t xml:space="preserve">Phase 4 — Open new consumers</w:t>
      </w:r>
    </w:p>
    <w:p>
      <w:pPr>
        <w:spacing w:after="200" w:line="320"/>
      </w:pPr>
      <w:r>
        <w:rPr>
          <w:color w:val="1C242C"/>
          <w:sz w:val="22"/>
          <w:szCs w:val="22"/>
        </w:rPr>
        <w:t xml:space="preserve">With the catalog, materialization strategy, access control, and versioning safeguards all in place, new consumer types — ML feature lenses and external API lenses — can be registered against the now-generalized catalog using the same contract every earlier lens used, rather than requiring bespoke integration work.</w:t>
      </w:r>
    </w:p>
    <w:p>
      <w:pPr>
        <w:pStyle w:val="Heading1"/>
        <w:pBdr>
          <w:bottom w:val="single" w:color="9C5A1E" w:sz="6" w:space="4"/>
        </w:pBdr>
        <w:spacing w:after="200" w:before="480"/>
      </w:pPr>
      <w:bookmarkStart w:name="sec10" w:id="1"/>
      <w:r>
        <w:rPr>
          <w:b/>
          <w:bCs/>
          <w:color w:val="1C242C"/>
          <w:sz w:val="30"/>
          <w:szCs w:val="30"/>
        </w:rPr>
        <w:t xml:space="preserve">10. Decisions Log</w:t>
      </w:r>
      <w:bookmarkEnd w:id="1"/>
    </w:p>
    <w:p>
      <w:pPr>
        <w:spacing w:after="200" w:line="320"/>
      </w:pPr>
      <w:r>
        <w:rPr>
          <w:color w:val="1C242C"/>
          <w:sz w:val="22"/>
          <w:szCs w:val="22"/>
        </w:rPr>
        <w:t xml:space="preserve">Four decisions were reached over the course of this design record and are restated here for traceability.</w:t>
      </w:r>
    </w:p>
    <w:p>
      <w:pPr>
        <w:pStyle w:val="ListParagraph"/>
        <w:numPr>
          <w:ilvl w:val="0"/>
          <w:numId w:val="2"/>
        </w:numPr>
        <w:spacing w:after="100" w:line="300"/>
      </w:pPr>
      <w:r>
        <w:rPr>
          <w:color w:val="1C242C"/>
          <w:sz w:val="22"/>
          <w:szCs w:val="22"/>
        </w:rPr>
        <w:t xml:space="preserve">D1 — Generalize DashboardModelStore's existing pattern into a typed LensStore catalog, rather than building a parallel, special-purpose system alongside it.</w:t>
      </w:r>
    </w:p>
    <w:p>
      <w:pPr>
        <w:pStyle w:val="ListParagraph"/>
        <w:numPr>
          <w:ilvl w:val="0"/>
          <w:numId w:val="2"/>
        </w:numPr>
        <w:spacing w:after="100" w:line="300"/>
      </w:pPr>
      <w:r>
        <w:rPr>
          <w:color w:val="1C242C"/>
          <w:sz w:val="22"/>
          <w:szCs w:val="22"/>
        </w:rPr>
        <w:t xml:space="preserve">D2 — Adopt a hybrid materialization strategy: materialized for BI, ML, and dashboard consumers; live-filtered for ad hoc and external API consumers.</w:t>
      </w:r>
    </w:p>
    <w:p>
      <w:pPr>
        <w:pStyle w:val="ListParagraph"/>
        <w:numPr>
          <w:ilvl w:val="0"/>
          <w:numId w:val="2"/>
        </w:numPr>
        <w:spacing w:after="100" w:line="300"/>
      </w:pPr>
      <w:r>
        <w:rPr>
          <w:color w:val="1C242C"/>
          <w:sz w:val="22"/>
          <w:szCs w:val="22"/>
        </w:rPr>
        <w:t xml:space="preserve">D3 — Scope lens access control by an ontology attribute allowlist, reusing the ontology's own type model rather than introducing a separate authorization layer.</w:t>
      </w:r>
    </w:p>
    <w:p>
      <w:pPr>
        <w:pStyle w:val="ListParagraph"/>
        <w:numPr>
          <w:ilvl w:val="0"/>
          <w:numId w:val="2"/>
        </w:numPr>
        <w:spacing w:after="100" w:line="300"/>
      </w:pPr>
      <w:r>
        <w:rPr>
          <w:color w:val="1C242C"/>
          <w:sz w:val="22"/>
          <w:szCs w:val="22"/>
        </w:rPr>
        <w:t xml:space="preserve">D4 — Run a non-blocking lens-compatibility check on every ontology version cut, consistent with the platform-wide rule that nothing hard-stops without an approval flow.</w:t>
      </w:r>
    </w:p>
    <w:p>
      <w:pPr>
        <w:pStyle w:val="Heading1"/>
        <w:pBdr>
          <w:bottom w:val="single" w:color="9C5A1E" w:sz="6" w:space="4"/>
        </w:pBdr>
        <w:spacing w:after="200" w:before="480"/>
      </w:pPr>
      <w:bookmarkStart w:name="sec11" w:id="1"/>
      <w:r>
        <w:rPr>
          <w:b/>
          <w:bCs/>
          <w:color w:val="1C242C"/>
          <w:sz w:val="30"/>
          <w:szCs w:val="30"/>
        </w:rPr>
        <w:t xml:space="preserve">11. Open Risks &amp; Considerations</w:t>
      </w:r>
      <w:bookmarkEnd w:id="1"/>
    </w:p>
    <w:p>
      <w:pPr>
        <w:spacing w:after="200" w:line="320"/>
      </w:pPr>
      <w:r>
        <w:rPr>
          <w:color w:val="1C242C"/>
          <w:sz w:val="22"/>
          <w:szCs w:val="22"/>
        </w:rPr>
        <w:t xml:space="preserve">Three risks were identified during this analysis and should remain visible to whoever owns implementation, rather than being treated as closed by the decisions above.</w:t>
      </w:r>
    </w:p>
    <w:p>
      <w:pPr>
        <w:pStyle w:val="ListParagraph"/>
        <w:numPr>
          <w:ilvl w:val="0"/>
          <w:numId w:val="2"/>
        </w:numPr>
        <w:spacing w:after="100" w:line="300"/>
      </w:pPr>
      <w:r>
        <w:rPr>
          <w:color w:val="1C242C"/>
          <w:sz w:val="22"/>
          <w:szCs w:val="22"/>
        </w:rPr>
        <w:t xml:space="preserve">Two lens read paths — a materialized fetch and a filtered query — represent more surface area to maintain than a single uniform model would. This should be revisited if, in practice, consumer needs converge enough that one path could serve both.</w:t>
      </w:r>
    </w:p>
    <w:p>
      <w:pPr>
        <w:pStyle w:val="ListParagraph"/>
        <w:numPr>
          <w:ilvl w:val="0"/>
          <w:numId w:val="2"/>
        </w:numPr>
        <w:spacing w:after="100" w:line="300"/>
      </w:pPr>
      <w:r>
        <w:rPr>
          <w:color w:val="1C242C"/>
          <w:sz w:val="22"/>
          <w:szCs w:val="22"/>
        </w:rPr>
        <w:t xml:space="preserve">If BI's row-level access requirements diverge sharply from ML's need for full-graph reads, a single LensStore table may prove insufficient and could need to split by consumer family in a later phase.</w:t>
      </w:r>
    </w:p>
    <w:p>
      <w:pPr>
        <w:pStyle w:val="ListParagraph"/>
        <w:numPr>
          <w:ilvl w:val="0"/>
          <w:numId w:val="2"/>
        </w:numPr>
        <w:spacing w:after="100" w:line="300"/>
      </w:pPr>
      <w:r>
        <w:rPr>
          <w:color w:val="1C242C"/>
          <w:sz w:val="22"/>
          <w:szCs w:val="22"/>
        </w:rPr>
        <w:t xml:space="preserve">Per-lens watermarks multiply operational surface roughly linearly with the number of registered lenses. Before Phase 2 ships broadly, the program should define either a cap on the number of concurrently materialized lenses or a tiering policy that demotes low-traffic materialized lenses back to the live-filtered path.</w:t>
      </w:r>
    </w:p>
    <w:p>
      <w:pPr>
        <w:pStyle w:val="Heading1"/>
        <w:pBdr>
          <w:bottom w:val="single" w:color="9C5A1E" w:sz="6" w:space="4"/>
        </w:pBdr>
        <w:spacing w:after="200" w:before="480"/>
      </w:pPr>
      <w:bookmarkStart w:name="sec12" w:id="1"/>
      <w:r>
        <w:rPr>
          <w:b/>
          <w:bCs/>
          <w:color w:val="1C242C"/>
          <w:sz w:val="30"/>
          <w:szCs w:val="30"/>
        </w:rPr>
        <w:t xml:space="preserve">12. Appendix — Store Reference Table</w:t>
      </w:r>
      <w:bookmarkEnd w:id="1"/>
    </w:p>
    <w:p>
      <w:pPr>
        <w:spacing w:after="200" w:line="320"/>
      </w:pPr>
      <w:r>
        <w:rPr>
          <w:color w:val="1C242C"/>
          <w:sz w:val="22"/>
          <w:szCs w:val="22"/>
        </w:rPr>
        <w:t xml:space="preserve">The following table restates the current-state inventory from Section 3 in quick-reference form.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00"/>
      </w:tblGrid>
      <w:tr>
        <w:trPr>
          <w:tblHeader/>
        </w:trPr>
        <w:tc>
          <w:tcPr>
            <w:tcW w:type="dxa" w:w="2200"/>
            <w:shd w:fill="EFEAE0" w:val="clear"/>
            <w:tcMar>
              <w:top w:type="dxa" w:w="90"/>
              <w:left w:type="dxa" w:w="120"/>
              <w:bottom w:type="dxa" w:w="90"/>
              <w:right w:type="dxa" w:w="120"/>
            </w:tcMar>
            <w:vAlign w:val="center"/>
          </w:tcPr>
          <w:p>
            <w:pPr>
              <w:jc w:val="left"/>
            </w:pPr>
            <w:r>
              <w:rPr>
                <w:b/>
                <w:bCs/>
                <w:color w:val="1C242C"/>
                <w:sz w:val="20"/>
                <w:szCs w:val="20"/>
              </w:rPr>
              <w:t xml:space="preserve">Store</w:t>
            </w:r>
          </w:p>
        </w:tc>
        <w:tc>
          <w:tcPr>
            <w:tcW w:type="dxa" w:w="2200"/>
            <w:shd w:fill="EFEAE0" w:val="clear"/>
            <w:tcMar>
              <w:top w:type="dxa" w:w="90"/>
              <w:left w:type="dxa" w:w="120"/>
              <w:bottom w:type="dxa" w:w="90"/>
              <w:right w:type="dxa" w:w="120"/>
            </w:tcMar>
            <w:vAlign w:val="center"/>
          </w:tcPr>
          <w:p>
            <w:pPr>
              <w:jc w:val="left"/>
            </w:pPr>
            <w:r>
              <w:rPr>
                <w:b/>
                <w:bCs/>
                <w:color w:val="1C242C"/>
                <w:sz w:val="20"/>
                <w:szCs w:val="20"/>
              </w:rPr>
              <w:t xml:space="preserve">Hub Concept</w:t>
            </w:r>
          </w:p>
        </w:tc>
        <w:tc>
          <w:tcPr>
            <w:tcW w:type="dxa" w:w="4700"/>
            <w:shd w:fill="EFEAE0" w:val="clear"/>
            <w:tcMar>
              <w:top w:type="dxa" w:w="90"/>
              <w:left w:type="dxa" w:w="120"/>
              <w:bottom w:type="dxa" w:w="90"/>
              <w:right w:type="dxa" w:w="120"/>
            </w:tcMar>
            <w:vAlign w:val="center"/>
          </w:tcPr>
          <w:p>
            <w:pPr>
              <w:jc w:val="left"/>
            </w:pPr>
            <w:r>
              <w:rPr>
                <w:b/>
                <w:bCs/>
                <w:color w:val="1C242C"/>
                <w:sz w:val="20"/>
                <w:szCs w:val="20"/>
              </w:rPr>
              <w:t xml:space="preserve">Role</w:t>
            </w:r>
          </w:p>
        </w:tc>
      </w:tr>
      <w:tr>
        <w:tc>
          <w:tcPr>
            <w:tcW w:type="dxa" w:w="22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OntologyStore</w:t>
            </w:r>
          </w:p>
        </w:tc>
        <w:tc>
          <w:tcPr>
            <w:tcW w:type="dxa" w:w="2200"/>
            <w:tcMar>
              <w:top w:type="dxa" w:w="90"/>
              <w:left w:type="dxa" w:w="120"/>
              <w:bottom w:type="dxa" w:w="90"/>
              <w:right w:type="dxa" w:w="120"/>
            </w:tcMar>
            <w:vAlign w:val="center"/>
          </w:tcPr>
          <w:p>
            <w:pPr>
              <w:jc w:val="left"/>
            </w:pPr>
            <w:r>
              <w:rPr>
                <w:b w:val="false"/>
                <w:bCs w:val="false"/>
                <w:color w:val="1C242C"/>
                <w:sz w:val="20"/>
                <w:szCs w:val="20"/>
              </w:rPr>
              <w:t xml:space="preserve">Type system</w:t>
            </w:r>
          </w:p>
        </w:tc>
        <w:tc>
          <w:tcPr>
            <w:tcW w:type="dxa" w:w="4700"/>
            <w:tcMar>
              <w:top w:type="dxa" w:w="90"/>
              <w:left w:type="dxa" w:w="120"/>
              <w:bottom w:type="dxa" w:w="90"/>
              <w:right w:type="dxa" w:w="120"/>
            </w:tcMar>
            <w:vAlign w:val="center"/>
          </w:tcPr>
          <w:p>
            <w:pPr>
              <w:jc w:val="left"/>
            </w:pPr>
            <w:r>
              <w:rPr>
                <w:b w:val="false"/>
                <w:bCs w:val="false"/>
                <w:color w:val="1C242C"/>
                <w:sz w:val="20"/>
                <w:szCs w:val="20"/>
              </w:rPr>
              <w:t xml:space="preserve">Workspace-scoped ontology types and schema mappings (stage 6).</w:t>
            </w:r>
          </w:p>
        </w:tc>
      </w:tr>
      <w:tr>
        <w:tc>
          <w:tcPr>
            <w:tcW w:type="dxa" w:w="22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AxiomStore</w:t>
            </w:r>
          </w:p>
        </w:tc>
        <w:tc>
          <w:tcPr>
            <w:tcW w:type="dxa" w:w="22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Ontology constraints</w:t>
            </w:r>
          </w:p>
        </w:tc>
        <w:tc>
          <w:tcPr>
            <w:tcW w:type="dxa" w:w="47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disjoint_with, equivalent_to, domain, range, cardinality_max; idempotent per workspace/type/kind/payload hash.</w:t>
            </w:r>
          </w:p>
        </w:tc>
      </w:tr>
      <w:tr>
        <w:tc>
          <w:tcPr>
            <w:tcW w:type="dxa" w:w="22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VersionStore</w:t>
            </w:r>
          </w:p>
        </w:tc>
        <w:tc>
          <w:tcPr>
            <w:tcW w:type="dxa" w:w="2200"/>
            <w:tcMar>
              <w:top w:type="dxa" w:w="90"/>
              <w:left w:type="dxa" w:w="120"/>
              <w:bottom w:type="dxa" w:w="90"/>
              <w:right w:type="dxa" w:w="120"/>
            </w:tcMar>
            <w:vAlign w:val="center"/>
          </w:tcPr>
          <w:p>
            <w:pPr>
              <w:jc w:val="left"/>
            </w:pPr>
            <w:r>
              <w:rPr>
                <w:b w:val="false"/>
                <w:bCs w:val="false"/>
                <w:color w:val="1C242C"/>
                <w:sz w:val="20"/>
                <w:szCs w:val="20"/>
              </w:rPr>
              <w:t xml:space="preserve">Ontology versioning</w:t>
            </w:r>
          </w:p>
        </w:tc>
        <w:tc>
          <w:tcPr>
            <w:tcW w:type="dxa" w:w="4700"/>
            <w:tcMar>
              <w:top w:type="dxa" w:w="90"/>
              <w:left w:type="dxa" w:w="120"/>
              <w:bottom w:type="dxa" w:w="90"/>
              <w:right w:type="dxa" w:w="120"/>
            </w:tcMar>
            <w:vAlign w:val="center"/>
          </w:tcPr>
          <w:p>
            <w:pPr>
              <w:jc w:val="left"/>
            </w:pPr>
            <w:r>
              <w:rPr>
                <w:b w:val="false"/>
                <w:bCs w:val="false"/>
                <w:color w:val="1C242C"/>
                <w:sz w:val="20"/>
                <w:szCs w:val="20"/>
              </w:rPr>
              <w:t xml:space="preserve">Full JSON snapshot per version cut, plus a change log.</w:t>
            </w:r>
          </w:p>
        </w:tc>
      </w:tr>
      <w:tr>
        <w:tc>
          <w:tcPr>
            <w:tcW w:type="dxa" w:w="22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EntityStore</w:t>
            </w:r>
          </w:p>
        </w:tc>
        <w:tc>
          <w:tcPr>
            <w:tcW w:type="dxa" w:w="22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Golden records</w:t>
            </w:r>
          </w:p>
        </w:tc>
        <w:tc>
          <w:tcPr>
            <w:tcW w:type="dxa" w:w="47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Entity resolution and provenance members (stage 7).</w:t>
            </w:r>
          </w:p>
        </w:tc>
      </w:tr>
      <w:tr>
        <w:tc>
          <w:tcPr>
            <w:tcW w:type="dxa" w:w="22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AdjudicationStore</w:t>
            </w:r>
          </w:p>
        </w:tc>
        <w:tc>
          <w:tcPr>
            <w:tcW w:type="dxa" w:w="2200"/>
            <w:tcMar>
              <w:top w:type="dxa" w:w="90"/>
              <w:left w:type="dxa" w:w="120"/>
              <w:bottom w:type="dxa" w:w="90"/>
              <w:right w:type="dxa" w:w="120"/>
            </w:tcMar>
            <w:vAlign w:val="center"/>
          </w:tcPr>
          <w:p>
            <w:pPr>
              <w:jc w:val="left"/>
            </w:pPr>
            <w:r>
              <w:rPr>
                <w:b w:val="false"/>
                <w:bCs w:val="false"/>
                <w:color w:val="1C242C"/>
                <w:sz w:val="20"/>
                <w:szCs w:val="20"/>
              </w:rPr>
              <w:t xml:space="preserve">HITL merge queue</w:t>
            </w:r>
          </w:p>
        </w:tc>
        <w:tc>
          <w:tcPr>
            <w:tcW w:type="dxa" w:w="4700"/>
            <w:tcMar>
              <w:top w:type="dxa" w:w="90"/>
              <w:left w:type="dxa" w:w="120"/>
              <w:bottom w:type="dxa" w:w="90"/>
              <w:right w:type="dxa" w:w="120"/>
            </w:tcMar>
            <w:vAlign w:val="center"/>
          </w:tcPr>
          <w:p>
            <w:pPr>
              <w:jc w:val="left"/>
            </w:pPr>
            <w:r>
              <w:rPr>
                <w:b w:val="false"/>
                <w:bCs w:val="false"/>
                <w:color w:val="1C242C"/>
                <w:sz w:val="20"/>
                <w:szCs w:val="20"/>
              </w:rPr>
              <w:t xml:space="preserve">Human- and LLM-decided match pairs as labeled training examples; post-hoc entity merge.</w:t>
            </w:r>
          </w:p>
        </w:tc>
      </w:tr>
      <w:tr>
        <w:tc>
          <w:tcPr>
            <w:tcW w:type="dxa" w:w="22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RelationshipTypeStore</w:t>
            </w:r>
          </w:p>
        </w:tc>
        <w:tc>
          <w:tcPr>
            <w:tcW w:type="dxa" w:w="22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Edge catalog</w:t>
            </w:r>
          </w:p>
        </w:tc>
        <w:tc>
          <w:tcPr>
            <w:tcW w:type="dxa" w:w="47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Declared relationship types backing the modelling canvas (owl:ObjectProperty-like rows).</w:t>
            </w:r>
          </w:p>
        </w:tc>
      </w:tr>
      <w:tr>
        <w:tc>
          <w:tcPr>
            <w:tcW w:type="dxa" w:w="22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GraphIntakeStore</w:t>
            </w:r>
          </w:p>
        </w:tc>
        <w:tc>
          <w:tcPr>
            <w:tcW w:type="dxa" w:w="2200"/>
            <w:tcMar>
              <w:top w:type="dxa" w:w="90"/>
              <w:left w:type="dxa" w:w="120"/>
              <w:bottom w:type="dxa" w:w="90"/>
              <w:right w:type="dxa" w:w="120"/>
            </w:tcMar>
            <w:vAlign w:val="center"/>
          </w:tcPr>
          <w:p>
            <w:pPr>
              <w:jc w:val="left"/>
            </w:pPr>
            <w:r>
              <w:rPr>
                <w:b w:val="false"/>
                <w:bCs w:val="false"/>
                <w:color w:val="1C242C"/>
                <w:sz w:val="20"/>
                <w:szCs w:val="20"/>
              </w:rPr>
              <w:t xml:space="preserve">Graph snapshots</w:t>
            </w:r>
          </w:p>
        </w:tc>
        <w:tc>
          <w:tcPr>
            <w:tcW w:type="dxa" w:w="4700"/>
            <w:tcMar>
              <w:top w:type="dxa" w:w="90"/>
              <w:left w:type="dxa" w:w="120"/>
              <w:bottom w:type="dxa" w:w="90"/>
              <w:right w:type="dxa" w:w="120"/>
            </w:tcMar>
            <w:vAlign w:val="center"/>
          </w:tcPr>
          <w:p>
            <w:pPr>
              <w:jc w:val="left"/>
            </w:pPr>
            <w:r>
              <w:rPr>
                <w:b w:val="false"/>
                <w:bCs w:val="false"/>
                <w:color w:val="1C242C"/>
                <w:sz w:val="20"/>
                <w:szCs w:val="20"/>
              </w:rPr>
              <w:t xml:space="preserve">Insert-only validated graph versions, content-hash deduplicated.</w:t>
            </w:r>
          </w:p>
        </w:tc>
      </w:tr>
      <w:tr>
        <w:tc>
          <w:tcPr>
            <w:tcW w:type="dxa" w:w="2200"/>
            <w:shd w:fill="F7F5EF" w:val="clear"/>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ProjectionStore</w:t>
            </w:r>
          </w:p>
        </w:tc>
        <w:tc>
          <w:tcPr>
            <w:tcW w:type="dxa" w:w="22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Incremental projection</w:t>
            </w:r>
          </w:p>
        </w:tc>
        <w:tc>
          <w:tcPr>
            <w:tcW w:type="dxa" w:w="4700"/>
            <w:shd w:fill="F7F5EF" w:val="clear"/>
            <w:tcMar>
              <w:top w:type="dxa" w:w="90"/>
              <w:left w:type="dxa" w:w="120"/>
              <w:bottom w:type="dxa" w:w="90"/>
              <w:right w:type="dxa" w:w="120"/>
            </w:tcMar>
            <w:vAlign w:val="center"/>
          </w:tcPr>
          <w:p>
            <w:pPr>
              <w:jc w:val="left"/>
            </w:pPr>
            <w:r>
              <w:rPr>
                <w:b w:val="false"/>
                <w:bCs w:val="false"/>
                <w:color w:val="1C242C"/>
                <w:sz w:val="20"/>
                <w:szCs w:val="20"/>
              </w:rPr>
              <w:t xml:space="preserve">Watermark and Postgres-computed dirty-set rebuild of the graph, with tombstones.</w:t>
            </w:r>
          </w:p>
        </w:tc>
      </w:tr>
      <w:tr>
        <w:tc>
          <w:tcPr>
            <w:tcW w:type="dxa" w:w="2200"/>
            <w:tcMar>
              <w:top w:type="dxa" w:w="90"/>
              <w:left w:type="dxa" w:w="120"/>
              <w:bottom w:type="dxa" w:w="90"/>
              <w:right w:type="dxa" w:w="120"/>
            </w:tcMar>
            <w:vAlign w:val="center"/>
          </w:tcPr>
          <w:p>
            <w:pPr>
              <w:jc w:val="left"/>
            </w:pPr>
            <w:r>
              <w:rPr>
                <w:rFonts w:ascii="IBM Plex Mono" w:cs="IBM Plex Mono" w:eastAsia="IBM Plex Mono" w:hAnsi="IBM Plex Mono"/>
                <w:b w:val="false"/>
                <w:bCs w:val="false"/>
                <w:color w:val="1C242C"/>
                <w:sz w:val="20"/>
                <w:szCs w:val="20"/>
              </w:rPr>
              <w:t xml:space="preserve">DashboardModelStore</w:t>
            </w:r>
          </w:p>
        </w:tc>
        <w:tc>
          <w:tcPr>
            <w:tcW w:type="dxa" w:w="2200"/>
            <w:tcMar>
              <w:top w:type="dxa" w:w="90"/>
              <w:left w:type="dxa" w:w="120"/>
              <w:bottom w:type="dxa" w:w="90"/>
              <w:right w:type="dxa" w:w="120"/>
            </w:tcMar>
            <w:vAlign w:val="center"/>
          </w:tcPr>
          <w:p>
            <w:pPr>
              <w:jc w:val="left"/>
            </w:pPr>
            <w:r>
              <w:rPr>
                <w:b w:val="false"/>
                <w:bCs w:val="false"/>
                <w:color w:val="1C242C"/>
                <w:sz w:val="20"/>
                <w:szCs w:val="20"/>
              </w:rPr>
              <w:t xml:space="preserve">Lens (single-purpose)</w:t>
            </w:r>
          </w:p>
        </w:tc>
        <w:tc>
          <w:tcPr>
            <w:tcW w:type="dxa" w:w="4700"/>
            <w:tcMar>
              <w:top w:type="dxa" w:w="90"/>
              <w:left w:type="dxa" w:w="120"/>
              <w:bottom w:type="dxa" w:w="90"/>
              <w:right w:type="dxa" w:w="120"/>
            </w:tcMar>
            <w:vAlign w:val="center"/>
          </w:tcPr>
          <w:p>
            <w:pPr>
              <w:jc w:val="left"/>
            </w:pPr>
            <w:r>
              <w:rPr>
                <w:b w:val="false"/>
                <w:bCs w:val="false"/>
                <w:color w:val="1C242C"/>
                <w:sz w:val="20"/>
                <w:szCs w:val="20"/>
              </w:rPr>
              <w:t xml:space="preserve">One composed projection per dataset, scoped to dashboard consumers only.</w:t>
            </w:r>
          </w:p>
        </w:tc>
      </w:tr>
    </w:tbl>
    <w:p>
      <w:pPr>
        <w:spacing w:after="260" w:before="60"/>
      </w:pPr>
      <w:r>
        <w:rPr>
          <w:i/>
          <w:iCs/>
          <w:color w:val="5B6672"/>
          <w:sz w:val="18"/>
          <w:szCs w:val="18"/>
        </w:rPr>
        <w:t xml:space="preserve">Table 4. Existing stores mapped to the hub concepts they already implement.</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24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6b8b1f9c1e990d7dbbeb5517431889dadd261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2026-08-27T16:08:00.668Z</dcterms:created>
  <dcterms:modified xsi:type="dcterms:W3CDTF">2026-08-27T16:08:00.669Z</dcterms:modified>
</cp:coreProperties>
</file>

<file path=docProps/custom.xml><?xml version="1.0" encoding="utf-8"?>
<Properties xmlns="http://schemas.openxmlformats.org/officeDocument/2006/custom-properties" xmlns:vt="http://schemas.openxmlformats.org/officeDocument/2006/docPropsVTypes"/>
</file>