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EB48A" w14:textId="77777777" w:rsidR="00296FDA" w:rsidRDefault="00000000">
      <w:pPr>
        <w:spacing w:after="160"/>
      </w:pPr>
      <w:r>
        <w:rPr>
          <w:rFonts w:ascii="Arial" w:eastAsia="Arial" w:hAnsi="Arial" w:cs="Arial"/>
          <w:b/>
          <w:bCs/>
          <w:color w:val="1A1A1A"/>
          <w:sz w:val="36"/>
          <w:szCs w:val="36"/>
        </w:rPr>
        <w:t>Operating Capabilities — Insights Review</w:t>
      </w:r>
    </w:p>
    <w:p w14:paraId="71E0C814" w14:textId="77777777" w:rsidR="00296FDA" w:rsidRDefault="00000000">
      <w:pPr>
        <w:spacing w:after="400"/>
      </w:pPr>
      <w:r>
        <w:rPr>
          <w:rFonts w:ascii="Arial" w:eastAsia="Arial" w:hAnsi="Arial" w:cs="Arial"/>
          <w:color w:val="777777"/>
        </w:rPr>
        <w:t>New insights from interviews, sorted by number of occurrences within each sub-dimension.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FDA" w14:paraId="63AB86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4057"/>
            <w:tcMar>
              <w:top w:w="120" w:type="dxa"/>
              <w:left w:w="180" w:type="dxa"/>
              <w:bottom w:w="120" w:type="dxa"/>
              <w:right w:w="180" w:type="dxa"/>
            </w:tcMar>
          </w:tcPr>
          <w:p w14:paraId="57689F13" w14:textId="77777777" w:rsidR="00296FDA" w:rsidRDefault="00000000">
            <w:r>
              <w:rPr>
                <w:rFonts w:ascii="Arial" w:eastAsia="Arial" w:hAnsi="Arial" w:cs="Arial"/>
                <w:b/>
                <w:bCs/>
                <w:color w:val="FFFFFF"/>
                <w:sz w:val="26"/>
                <w:szCs w:val="26"/>
              </w:rPr>
              <w:t>1. Org Structure &amp; Composition</w:t>
            </w:r>
          </w:p>
        </w:tc>
      </w:tr>
    </w:tbl>
    <w:p w14:paraId="46602E35" w14:textId="77777777" w:rsidR="00296FDA" w:rsidRDefault="00296FDA">
      <w:pPr>
        <w:spacing w:after="80"/>
      </w:pPr>
    </w:p>
    <w:p w14:paraId="31157E26" w14:textId="77777777" w:rsidR="00296FDA" w:rsidRDefault="00000000">
      <w:pPr>
        <w:pBdr>
          <w:top w:val="single" w:sz="1" w:space="0" w:color="DDDDDD"/>
        </w:pBdr>
        <w:spacing w:before="280" w:after="80"/>
      </w:pPr>
      <w:r>
        <w:rPr>
          <w:rFonts w:ascii="Arial" w:eastAsia="Arial" w:hAnsi="Arial" w:cs="Arial"/>
          <w:b/>
          <w:bCs/>
          <w:color w:val="1A1A1A"/>
          <w:sz w:val="22"/>
          <w:szCs w:val="22"/>
        </w:rPr>
        <w:t>Role shift rather than elimination</w:t>
      </w:r>
      <w:r>
        <w:rPr>
          <w:rFonts w:ascii="Arial" w:eastAsia="Arial" w:hAnsi="Arial" w:cs="Arial"/>
          <w:color w:val="AAAAAA"/>
        </w:rPr>
        <w:t xml:space="preserve">   n=4</w:t>
      </w:r>
    </w:p>
    <w:p w14:paraId="2095553E" w14:textId="77777777" w:rsidR="00296FDA" w:rsidRDefault="00000000">
      <w:pPr>
        <w:spacing w:after="100"/>
        <w:ind w:left="360"/>
      </w:pPr>
      <w:r>
        <w:rPr>
          <w:rFonts w:ascii="Arial" w:eastAsia="Arial" w:hAnsi="Arial" w:cs="Arial"/>
          <w:color w:val="333333"/>
        </w:rPr>
        <w:t>Total headcount doesn’t necessarily drop; the mix shifts. People whose tasks get automated are repositioned into review, governance, or client-facing roles. The “smaller team” insight is real but incomplete — it describes one pattern; this describes another.</w:t>
      </w:r>
    </w:p>
    <w:p w14:paraId="1BF3F268"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“KYC talent: from document processors to AI summary reviewers.” (Kal Gangavarapu)</w:t>
      </w:r>
    </w:p>
    <w:p w14:paraId="78A7532C"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“2,500 agents → become reviewers of AI suggestions rather than manual processors.” (Nishith Sahu)</w:t>
      </w:r>
    </w:p>
    <w:p w14:paraId="462EC58E"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“Ops team: from dashboard operators to NL query users. People team: scales without headcount growth.” (Vijay Devatha)</w:t>
      </w:r>
    </w:p>
    <w:p w14:paraId="0B5DBB1F"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“Customer-success email role for SMB segment eliminated; person redeployed elsewhere.” (Daniel Guzman — PPTX case study)</w:t>
      </w:r>
    </w:p>
    <w:p w14:paraId="25E04245" w14:textId="77777777" w:rsidR="00296FDA" w:rsidRDefault="00000000">
      <w:pPr>
        <w:pBdr>
          <w:top w:val="single" w:sz="1" w:space="0" w:color="DDDDDD"/>
        </w:pBdr>
        <w:spacing w:before="280" w:after="80"/>
      </w:pPr>
      <w:r>
        <w:rPr>
          <w:rFonts w:ascii="Arial" w:eastAsia="Arial" w:hAnsi="Arial" w:cs="Arial"/>
          <w:b/>
          <w:bCs/>
          <w:color w:val="1A1A1A"/>
          <w:sz w:val="22"/>
          <w:szCs w:val="22"/>
        </w:rPr>
        <w:t>Non-engineers shipping production code</w:t>
      </w:r>
      <w:r>
        <w:rPr>
          <w:rFonts w:ascii="Arial" w:eastAsia="Arial" w:hAnsi="Arial" w:cs="Arial"/>
          <w:color w:val="AAAAAA"/>
        </w:rPr>
        <w:t xml:space="preserve">   n=3 (~5 partial)</w:t>
      </w:r>
    </w:p>
    <w:p w14:paraId="275B18C6" w14:textId="77777777" w:rsidR="00296FDA" w:rsidRDefault="00000000">
      <w:pPr>
        <w:spacing w:after="100"/>
        <w:ind w:left="360"/>
      </w:pPr>
      <w:r>
        <w:rPr>
          <w:rFonts w:ascii="Arial" w:eastAsia="Arial" w:hAnsi="Arial" w:cs="Arial"/>
          <w:color w:val="333333"/>
        </w:rPr>
        <w:t>Designers, ops staff, and non-technical employees are committing production-quality code through gated pipelines. This is a different org boundary — not just engineers getting faster, but the boundary between “who can ship” changing entirely.</w:t>
      </w:r>
    </w:p>
    <w:p w14:paraId="6CD2373F"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“Non-technical employees become full-stack low-code engineers. Ops teams = more autonomous. Engineering = infrastructure and access gatekeepers.” (Mitchell Fierro)</w:t>
      </w:r>
    </w:p>
    <w:p w14:paraId="579E6B7D"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“Design team coding with AI assistance. Engineers doing product thinking.” (Charles Barton)</w:t>
      </w:r>
    </w:p>
    <w:p w14:paraId="738E8122"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“Designers submitting PRs — experimental.” (Mahesh)</w:t>
      </w:r>
    </w:p>
    <w:p w14:paraId="3CFCF6AE" w14:textId="77777777" w:rsidR="00296FDA" w:rsidRDefault="00000000">
      <w:pPr>
        <w:pBdr>
          <w:top w:val="single" w:sz="1" w:space="0" w:color="DDDDDD"/>
        </w:pBdr>
        <w:spacing w:before="280" w:after="80"/>
      </w:pPr>
      <w:r>
        <w:rPr>
          <w:rFonts w:ascii="Arial" w:eastAsia="Arial" w:hAnsi="Arial" w:cs="Arial"/>
          <w:b/>
          <w:bCs/>
          <w:color w:val="1A1A1A"/>
          <w:sz w:val="22"/>
          <w:szCs w:val="22"/>
        </w:rPr>
        <w:t>Leader as individual contributor</w:t>
      </w:r>
      <w:r>
        <w:rPr>
          <w:rFonts w:ascii="Arial" w:eastAsia="Arial" w:hAnsi="Arial" w:cs="Arial"/>
          <w:color w:val="AAAAAA"/>
        </w:rPr>
        <w:t xml:space="preserve">   n=2 (+1 PPTX)</w:t>
      </w:r>
    </w:p>
    <w:p w14:paraId="4F903851" w14:textId="77777777" w:rsidR="00296FDA" w:rsidRDefault="00000000">
      <w:pPr>
        <w:spacing w:after="100"/>
        <w:ind w:left="360"/>
      </w:pPr>
      <w:r>
        <w:rPr>
          <w:rFonts w:ascii="Arial" w:eastAsia="Arial" w:hAnsi="Arial" w:cs="Arial"/>
          <w:color w:val="333333"/>
        </w:rPr>
        <w:t>Senior leaders are expected to ship working things themselves, not just manage teams that ship. This compresses the coordination layer from above, not just below — and functions as the strongest adoption signal in the organization.</w:t>
      </w:r>
    </w:p>
    <w:p w14:paraId="6ACD63B9"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“Leader = IC + reviewer. We’re just rappers — humans orchestrate agents.” “If he can do it, so can I.” (Kunal Datta)</w:t>
      </w:r>
    </w:p>
    <w:p w14:paraId="6477AA6A"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“CEO = autonomous on his own deliverables — board reports without support.” (Tyler Malone)</w:t>
      </w:r>
    </w:p>
    <w:p w14:paraId="5DD1883C"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“All managers expected to IC with AI and ship something to users every week.” (Amrish Macedo — PPTX case study)</w:t>
      </w:r>
    </w:p>
    <w:p w14:paraId="4A645CEF" w14:textId="77777777" w:rsidR="00296FDA" w:rsidRDefault="00000000">
      <w:pPr>
        <w:pBdr>
          <w:top w:val="single" w:sz="1" w:space="0" w:color="DDDDDD"/>
        </w:pBdr>
        <w:spacing w:before="280" w:after="80"/>
      </w:pPr>
      <w:r>
        <w:rPr>
          <w:rFonts w:ascii="Arial" w:eastAsia="Arial" w:hAnsi="Arial" w:cs="Arial"/>
          <w:b/>
          <w:bCs/>
          <w:color w:val="1A1A1A"/>
          <w:sz w:val="22"/>
          <w:szCs w:val="22"/>
        </w:rPr>
        <w:t>“Context owner” as a new formal role</w:t>
      </w:r>
      <w:r>
        <w:rPr>
          <w:rFonts w:ascii="Arial" w:eastAsia="Arial" w:hAnsi="Arial" w:cs="Arial"/>
          <w:color w:val="AAAAAA"/>
        </w:rPr>
        <w:t xml:space="preserve">   n=2</w:t>
      </w:r>
    </w:p>
    <w:p w14:paraId="074E0F53" w14:textId="77777777" w:rsidR="00296FDA" w:rsidRDefault="00000000">
      <w:pPr>
        <w:spacing w:after="100"/>
        <w:ind w:left="360"/>
      </w:pPr>
      <w:r>
        <w:rPr>
          <w:rFonts w:ascii="Arial" w:eastAsia="Arial" w:hAnsi="Arial" w:cs="Arial"/>
          <w:color w:val="333333"/>
        </w:rPr>
        <w:t>A new hybrid role: someone with domain expertise who owns the freshness and accuracy of the context layer for a given function. An extension of the “metric owner” concept — not an engineer, not a data steward, something new.</w:t>
      </w:r>
    </w:p>
    <w:p w14:paraId="58AE961A"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“Extending the logic of metric ownership to context ownership — people with subject matter expertise who approve changes and maintain freshness.” (Dmitry Shkolnik)</w:t>
      </w:r>
    </w:p>
    <w:p w14:paraId="3CC15111"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“Context ownership = next step to address. Tribal knowledge = unresolved gap.” (Mitchell Fierro)</w:t>
      </w:r>
    </w:p>
    <w:p w14:paraId="5F4FC90C" w14:textId="77777777" w:rsidR="00296FDA" w:rsidRDefault="00000000">
      <w:pPr>
        <w:pBdr>
          <w:top w:val="single" w:sz="1" w:space="0" w:color="DDDDDD"/>
        </w:pBdr>
        <w:spacing w:before="280" w:after="80"/>
      </w:pPr>
      <w:r>
        <w:rPr>
          <w:rFonts w:ascii="Arial" w:eastAsia="Arial" w:hAnsi="Arial" w:cs="Arial"/>
          <w:b/>
          <w:bCs/>
          <w:color w:val="1A1A1A"/>
          <w:sz w:val="22"/>
          <w:szCs w:val="22"/>
        </w:rPr>
        <w:t>Platform team vs. product team as a deliberate structural split</w:t>
      </w:r>
      <w:r>
        <w:rPr>
          <w:rFonts w:ascii="Arial" w:eastAsia="Arial" w:hAnsi="Arial" w:cs="Arial"/>
          <w:color w:val="AAAAAA"/>
        </w:rPr>
        <w:t xml:space="preserve">   n=1 clearly, 2–3 partial</w:t>
      </w:r>
    </w:p>
    <w:p w14:paraId="12E0C354" w14:textId="77777777" w:rsidR="00296FDA" w:rsidRDefault="00000000">
      <w:pPr>
        <w:spacing w:after="100"/>
        <w:ind w:left="360"/>
      </w:pPr>
      <w:r>
        <w:rPr>
          <w:rFonts w:ascii="Arial" w:eastAsia="Arial" w:hAnsi="Arial" w:cs="Arial"/>
          <w:color w:val="333333"/>
        </w:rPr>
        <w:t>Frontier firms separate who builds the AI rails from who uses them. The platform team owns MCPs, connectors, permissions, and the deployment layer. Product teams are consumers. This is what makes safe self-service possible.</w:t>
      </w:r>
    </w:p>
    <w:p w14:paraId="53B22B8E"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lastRenderedPageBreak/>
        <w:t>“Claude Code is just how people can produce stuff — but the question is how do you deploy that thing, where does it run, how does it connect to everything else in our network. We built a whole internal platform for this.” (Mitchell Fierro)</w:t>
      </w:r>
    </w:p>
    <w:p w14:paraId="753DCFB5"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“Top-down to standardize infrastructure” with bottom-up for workflows. (Mahesh — partial)</w:t>
      </w:r>
    </w:p>
    <w:p w14:paraId="5F564CE3" w14:textId="77777777" w:rsidR="00296FDA" w:rsidRDefault="00296FD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FDA" w14:paraId="355E0F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4057"/>
            <w:tcMar>
              <w:top w:w="120" w:type="dxa"/>
              <w:left w:w="180" w:type="dxa"/>
              <w:bottom w:w="120" w:type="dxa"/>
              <w:right w:w="180" w:type="dxa"/>
            </w:tcMar>
          </w:tcPr>
          <w:p w14:paraId="0CD07D28" w14:textId="77777777" w:rsidR="00296FDA" w:rsidRDefault="00000000">
            <w:r>
              <w:rPr>
                <w:rFonts w:ascii="Arial" w:eastAsia="Arial" w:hAnsi="Arial" w:cs="Arial"/>
                <w:b/>
                <w:bCs/>
                <w:color w:val="FFFFFF"/>
                <w:sz w:val="26"/>
                <w:szCs w:val="26"/>
              </w:rPr>
              <w:t>2. Talent Readiness</w:t>
            </w:r>
          </w:p>
        </w:tc>
      </w:tr>
    </w:tbl>
    <w:p w14:paraId="7475E1F5" w14:textId="77777777" w:rsidR="00296FDA" w:rsidRDefault="00296FDA">
      <w:pPr>
        <w:spacing w:after="80"/>
      </w:pPr>
    </w:p>
    <w:p w14:paraId="26B20ACD" w14:textId="77777777" w:rsidR="00296FDA" w:rsidRDefault="00000000">
      <w:pPr>
        <w:pBdr>
          <w:top w:val="single" w:sz="1" w:space="0" w:color="DDDDDD"/>
        </w:pBdr>
        <w:spacing w:before="280" w:after="80"/>
      </w:pPr>
      <w:r>
        <w:rPr>
          <w:rFonts w:ascii="Arial" w:eastAsia="Arial" w:hAnsi="Arial" w:cs="Arial"/>
          <w:b/>
          <w:bCs/>
          <w:color w:val="1A1A1A"/>
          <w:sz w:val="22"/>
          <w:szCs w:val="22"/>
        </w:rPr>
        <w:t>Non-technical employees upskilling to production-grade output</w:t>
      </w:r>
      <w:r>
        <w:rPr>
          <w:rFonts w:ascii="Arial" w:eastAsia="Arial" w:hAnsi="Arial" w:cs="Arial"/>
          <w:color w:val="AAAAAA"/>
        </w:rPr>
        <w:t xml:space="preserve">   n=3</w:t>
      </w:r>
    </w:p>
    <w:p w14:paraId="17552F5F" w14:textId="77777777" w:rsidR="00296FDA" w:rsidRDefault="00000000">
      <w:pPr>
        <w:spacing w:after="100"/>
        <w:ind w:left="360"/>
      </w:pPr>
      <w:r>
        <w:rPr>
          <w:rFonts w:ascii="Arial" w:eastAsia="Arial" w:hAnsi="Arial" w:cs="Arial"/>
          <w:color w:val="333333"/>
        </w:rPr>
        <w:t>The ceiling of what a non-engineer can produce has risen to production quality — not just faster work on existing tasks. This is distinct from “curricula”; it’s an emergent capability, not a trained one.</w:t>
      </w:r>
    </w:p>
    <w:p w14:paraId="3A06FB45"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“Non-technical employees become full-stack low-code engineers.” (Mitchell Fierro)</w:t>
      </w:r>
    </w:p>
    <w:p w14:paraId="38E262E7"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“Designers submitting PRs — experimental.” (Mahesh)</w:t>
      </w:r>
    </w:p>
    <w:p w14:paraId="5FF913C7"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“Design team coding with AI assistance.” (Charles Barton)</w:t>
      </w:r>
    </w:p>
    <w:p w14:paraId="7178ADA7" w14:textId="77777777" w:rsidR="00296FDA" w:rsidRDefault="00000000">
      <w:pPr>
        <w:pBdr>
          <w:top w:val="single" w:sz="1" w:space="0" w:color="DDDDDD"/>
        </w:pBdr>
        <w:spacing w:before="280" w:after="80"/>
      </w:pPr>
      <w:r>
        <w:rPr>
          <w:rFonts w:ascii="Arial" w:eastAsia="Arial" w:hAnsi="Arial" w:cs="Arial"/>
          <w:b/>
          <w:bCs/>
          <w:color w:val="1A1A1A"/>
          <w:sz w:val="22"/>
          <w:szCs w:val="22"/>
        </w:rPr>
        <w:t>Orchestration as the new core engineering competency</w:t>
      </w:r>
      <w:r>
        <w:rPr>
          <w:rFonts w:ascii="Arial" w:eastAsia="Arial" w:hAnsi="Arial" w:cs="Arial"/>
          <w:color w:val="AAAAAA"/>
        </w:rPr>
        <w:t xml:space="preserve">   n=2 (+1 PPTX)</w:t>
      </w:r>
    </w:p>
    <w:p w14:paraId="3DAAE33E" w14:textId="77777777" w:rsidR="00296FDA" w:rsidRDefault="00000000">
      <w:pPr>
        <w:spacing w:after="100"/>
        <w:ind w:left="360"/>
      </w:pPr>
      <w:r>
        <w:rPr>
          <w:rFonts w:ascii="Arial" w:eastAsia="Arial" w:hAnsi="Arial" w:cs="Arial"/>
          <w:color w:val="333333"/>
        </w:rPr>
        <w:t>The scarce skill is no longer writing code — it’s knowing how to scope tasks, manage context, route models, and review agent outputs. Coding is explicitly described as commoditizing. Hiring criteria are shifting accordingly.</w:t>
      </w:r>
    </w:p>
    <w:p w14:paraId="5FDC99DD"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“Full-stack engineering + product ownership as the new profile. Engineers = reviewers more than coders.” (Daniel Guzman)</w:t>
      </w:r>
    </w:p>
    <w:p w14:paraId="2D07930C"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“We are looking for people who can understand and orchestrate agents. Not only code — because coding is becoming a commodity right now.” (Catalin Vieru — PPTX case study)</w:t>
      </w:r>
    </w:p>
    <w:p w14:paraId="16A0EC15" w14:textId="77777777" w:rsidR="00296FDA" w:rsidRDefault="00000000">
      <w:pPr>
        <w:pBdr>
          <w:top w:val="single" w:sz="1" w:space="0" w:color="DDDDDD"/>
        </w:pBdr>
        <w:spacing w:before="280" w:after="80"/>
      </w:pPr>
      <w:r>
        <w:rPr>
          <w:rFonts w:ascii="Arial" w:eastAsia="Arial" w:hAnsi="Arial" w:cs="Arial"/>
          <w:b/>
          <w:bCs/>
          <w:color w:val="1A1A1A"/>
          <w:sz w:val="22"/>
          <w:szCs w:val="22"/>
        </w:rPr>
        <w:t>Hallucination detection as a named hiring criterion</w:t>
      </w:r>
      <w:r>
        <w:rPr>
          <w:rFonts w:ascii="Arial" w:eastAsia="Arial" w:hAnsi="Arial" w:cs="Arial"/>
          <w:color w:val="AAAAAA"/>
        </w:rPr>
        <w:t xml:space="preserve">   n=1–2</w:t>
      </w:r>
    </w:p>
    <w:p w14:paraId="368DA85D" w14:textId="77777777" w:rsidR="00296FDA" w:rsidRDefault="00000000">
      <w:pPr>
        <w:spacing w:after="100"/>
        <w:ind w:left="360"/>
      </w:pPr>
      <w:r>
        <w:rPr>
          <w:rFonts w:ascii="Arial" w:eastAsia="Arial" w:hAnsi="Arial" w:cs="Arial"/>
          <w:color w:val="333333"/>
        </w:rPr>
        <w:t>The ability to recognize when an agent has drifted, fabricated, or gone off-task is now a specific, named competency — not just “strong fundamentals.” Firms have redesigned their technical interviews to test for it.</w:t>
      </w:r>
    </w:p>
    <w:p w14:paraId="7380BD3E"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“We want people capable of identifying hallucinations — because agents are still non-deterministic. We had to change the way we interview three or four times.” (Catalin Vieru — PPTX case study)</w:t>
      </w:r>
    </w:p>
    <w:p w14:paraId="2CE8DBFA"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“You can’t just let an agent build things without strong fundamentals — supply chain attacks show this.” (Michael Bernstein — related framing)</w:t>
      </w:r>
    </w:p>
    <w:p w14:paraId="7C4BC13C" w14:textId="77777777" w:rsidR="00296FDA" w:rsidRDefault="00000000">
      <w:pPr>
        <w:pBdr>
          <w:top w:val="single" w:sz="1" w:space="0" w:color="DDDDDD"/>
        </w:pBdr>
        <w:spacing w:before="280" w:after="80"/>
      </w:pPr>
      <w:r>
        <w:rPr>
          <w:rFonts w:ascii="Arial" w:eastAsia="Arial" w:hAnsi="Arial" w:cs="Arial"/>
          <w:b/>
          <w:bCs/>
          <w:color w:val="1A1A1A"/>
          <w:sz w:val="22"/>
          <w:szCs w:val="22"/>
        </w:rPr>
        <w:t>Domain knowledge deprioritized at hire</w:t>
      </w:r>
      <w:r>
        <w:rPr>
          <w:rFonts w:ascii="Arial" w:eastAsia="Arial" w:hAnsi="Arial" w:cs="Arial"/>
          <w:color w:val="AAAAAA"/>
        </w:rPr>
        <w:t xml:space="preserve">   n=1 — do not generalize</w:t>
      </w:r>
    </w:p>
    <w:p w14:paraId="01411C94" w14:textId="77777777" w:rsidR="00296FDA" w:rsidRDefault="00000000">
      <w:pPr>
        <w:spacing w:after="100"/>
        <w:ind w:left="360"/>
      </w:pPr>
      <w:r>
        <w:rPr>
          <w:rFonts w:ascii="Arial" w:eastAsia="Arial" w:hAnsi="Arial" w:cs="Arial"/>
          <w:color w:val="333333"/>
        </w:rPr>
        <w:t>One firm explicitly deprioritizes domain expertise at hire because the brain/context layer substitutes for it. Onboarding is compressed: you hook up to the brain and ask it your domain questions.</w:t>
      </w:r>
    </w:p>
    <w:p w14:paraId="39F1FDF5"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“I don’t care about domain knowledge. What it helps with practically is your onboarding time. You already hook up to the brain. You have a question? Ask the brain.” (Amrish Macedo — PPTX case study)</w:t>
      </w:r>
    </w:p>
    <w:p w14:paraId="13A86F95" w14:textId="77777777" w:rsidR="00296FDA" w:rsidRDefault="00000000">
      <w:pPr>
        <w:pBdr>
          <w:top w:val="single" w:sz="1" w:space="0" w:color="DDDDDD"/>
        </w:pBdr>
        <w:spacing w:before="280" w:after="80"/>
      </w:pPr>
      <w:r>
        <w:rPr>
          <w:rFonts w:ascii="Arial" w:eastAsia="Arial" w:hAnsi="Arial" w:cs="Arial"/>
          <w:b/>
          <w:bCs/>
          <w:color w:val="1A1A1A"/>
          <w:sz w:val="22"/>
          <w:szCs w:val="22"/>
        </w:rPr>
        <w:t>Future-proof role evaluation before opening a req</w:t>
      </w:r>
      <w:r>
        <w:rPr>
          <w:rFonts w:ascii="Arial" w:eastAsia="Arial" w:hAnsi="Arial" w:cs="Arial"/>
          <w:color w:val="AAAAAA"/>
        </w:rPr>
        <w:t xml:space="preserve">   n=1 — do not generalize</w:t>
      </w:r>
    </w:p>
    <w:p w14:paraId="3FCD6253" w14:textId="77777777" w:rsidR="00296FDA" w:rsidRDefault="00000000">
      <w:pPr>
        <w:spacing w:after="100"/>
        <w:ind w:left="360"/>
      </w:pPr>
      <w:r>
        <w:rPr>
          <w:rFonts w:ascii="Arial" w:eastAsia="Arial" w:hAnsi="Arial" w:cs="Arial"/>
          <w:color w:val="333333"/>
        </w:rPr>
        <w:t>Before opening a requisition, asking: will this role exist in 2 years? Could it be automated? Treating the hiring decision itself as an AI-impact assessment.</w:t>
      </w:r>
    </w:p>
    <w:p w14:paraId="4541D0A9"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“For every new role we hire, we ask: Is this role something we’ll need? Could it be automated? The individual needs AI proficiency — this role needs to be future-proof and adaptable.” (Pat Sheth)</w:t>
      </w:r>
    </w:p>
    <w:p w14:paraId="08EEBA51" w14:textId="77777777" w:rsidR="00296FDA" w:rsidRDefault="00000000">
      <w:pPr>
        <w:pBdr>
          <w:top w:val="single" w:sz="1" w:space="0" w:color="DDDDDD"/>
        </w:pBdr>
        <w:spacing w:before="280" w:after="80"/>
      </w:pPr>
      <w:r>
        <w:rPr>
          <w:rFonts w:ascii="Arial" w:eastAsia="Arial" w:hAnsi="Arial" w:cs="Arial"/>
          <w:b/>
          <w:bCs/>
          <w:color w:val="1A1A1A"/>
          <w:sz w:val="22"/>
          <w:szCs w:val="22"/>
        </w:rPr>
        <w:t>Personal AI subscription as a hiring signal</w:t>
      </w:r>
      <w:r>
        <w:rPr>
          <w:rFonts w:ascii="Arial" w:eastAsia="Arial" w:hAnsi="Arial" w:cs="Arial"/>
          <w:color w:val="AAAAAA"/>
        </w:rPr>
        <w:t xml:space="preserve">   n=1 — do not generalize</w:t>
      </w:r>
    </w:p>
    <w:p w14:paraId="496E5D83" w14:textId="77777777" w:rsidR="00296FDA" w:rsidRDefault="00000000">
      <w:pPr>
        <w:spacing w:after="100"/>
        <w:ind w:left="360"/>
      </w:pPr>
      <w:r>
        <w:rPr>
          <w:rFonts w:ascii="Arial" w:eastAsia="Arial" w:hAnsi="Arial" w:cs="Arial"/>
          <w:color w:val="333333"/>
        </w:rPr>
        <w:t>Whether a candidate pays for the premium personal subscription on their own time signals genuine AI-nativeness vs. performative fluency. It reveals whether someone experiments outside of work hours.</w:t>
      </w:r>
    </w:p>
    <w:p w14:paraId="2A064B40"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lastRenderedPageBreak/>
        <w:t>“You need the $200 version of Claude so you can use it in your spare time… A data scientist has been building a video game in her spare time. She now commits production-quality code to the main product using Claude Code.” (Mitchell Fierro — PPTX case study)</w:t>
      </w:r>
    </w:p>
    <w:p w14:paraId="4E8195DD" w14:textId="77777777" w:rsidR="00296FDA" w:rsidRDefault="00296FD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FDA" w14:paraId="488D04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4057"/>
            <w:tcMar>
              <w:top w:w="120" w:type="dxa"/>
              <w:left w:w="180" w:type="dxa"/>
              <w:bottom w:w="120" w:type="dxa"/>
              <w:right w:w="180" w:type="dxa"/>
            </w:tcMar>
          </w:tcPr>
          <w:p w14:paraId="5C5F214A" w14:textId="77777777" w:rsidR="00296FDA" w:rsidRDefault="00000000">
            <w:r>
              <w:rPr>
                <w:rFonts w:ascii="Arial" w:eastAsia="Arial" w:hAnsi="Arial" w:cs="Arial"/>
                <w:b/>
                <w:bCs/>
                <w:color w:val="FFFFFF"/>
                <w:sz w:val="26"/>
                <w:szCs w:val="26"/>
              </w:rPr>
              <w:t>3. Performance Management</w:t>
            </w:r>
          </w:p>
        </w:tc>
      </w:tr>
    </w:tbl>
    <w:p w14:paraId="64E6FD14" w14:textId="77777777" w:rsidR="00296FDA" w:rsidRDefault="00296FDA">
      <w:pPr>
        <w:spacing w:after="80"/>
      </w:pPr>
    </w:p>
    <w:p w14:paraId="0821255F" w14:textId="045792DD" w:rsidR="00296FDA" w:rsidRDefault="00566D86">
      <w:pPr>
        <w:pStyle w:val="Paragraphedeliste"/>
        <w:numPr>
          <w:ilvl w:val="0"/>
          <w:numId w:val="3"/>
        </w:numPr>
        <w:spacing w:before="40" w:after="40"/>
      </w:pPr>
      <w:r>
        <w:t>n/a</w:t>
      </w:r>
    </w:p>
    <w:p w14:paraId="7AA372BE" w14:textId="77777777" w:rsidR="00296FDA" w:rsidRDefault="00296FD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FDA" w14:paraId="23A984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4057"/>
            <w:tcMar>
              <w:top w:w="120" w:type="dxa"/>
              <w:left w:w="180" w:type="dxa"/>
              <w:bottom w:w="120" w:type="dxa"/>
              <w:right w:w="180" w:type="dxa"/>
            </w:tcMar>
          </w:tcPr>
          <w:p w14:paraId="6B75DCEE" w14:textId="77777777" w:rsidR="00296FDA" w:rsidRDefault="00000000">
            <w:r>
              <w:rPr>
                <w:rFonts w:ascii="Arial" w:eastAsia="Arial" w:hAnsi="Arial" w:cs="Arial"/>
                <w:b/>
                <w:bCs/>
                <w:color w:val="FFFFFF"/>
                <w:sz w:val="26"/>
                <w:szCs w:val="26"/>
              </w:rPr>
              <w:t>4. Review &amp; Learning Culture</w:t>
            </w:r>
          </w:p>
        </w:tc>
      </w:tr>
    </w:tbl>
    <w:p w14:paraId="0B0137A3" w14:textId="77777777" w:rsidR="00296FDA" w:rsidRDefault="00000000">
      <w:pPr>
        <w:pBdr>
          <w:top w:val="single" w:sz="1" w:space="0" w:color="DDDDDD"/>
        </w:pBdr>
        <w:spacing w:before="280" w:after="80"/>
      </w:pPr>
      <w:r>
        <w:rPr>
          <w:rFonts w:ascii="Arial" w:eastAsia="Arial" w:hAnsi="Arial" w:cs="Arial"/>
          <w:b/>
          <w:bCs/>
          <w:color w:val="1A1A1A"/>
          <w:sz w:val="22"/>
          <w:szCs w:val="22"/>
        </w:rPr>
        <w:t>Peer-to-peer workflow sharing as a cultural norm</w:t>
      </w:r>
      <w:r>
        <w:rPr>
          <w:rFonts w:ascii="Arial" w:eastAsia="Arial" w:hAnsi="Arial" w:cs="Arial"/>
          <w:color w:val="AAAAAA"/>
        </w:rPr>
        <w:t xml:space="preserve">   n=5</w:t>
      </w:r>
    </w:p>
    <w:p w14:paraId="48C015D9" w14:textId="77777777" w:rsidR="00296FDA" w:rsidRDefault="00000000">
      <w:pPr>
        <w:spacing w:after="100"/>
        <w:ind w:left="360"/>
      </w:pPr>
      <w:r>
        <w:rPr>
          <w:rFonts w:ascii="Arial" w:eastAsia="Arial" w:hAnsi="Arial" w:cs="Arial"/>
          <w:color w:val="333333"/>
        </w:rPr>
        <w:t>People experiment with novel workflows and share the successful ones across the team organically — not as a managed knowledge process. The tools make it easy; the culture makes it expected.</w:t>
      </w:r>
    </w:p>
    <w:p w14:paraId="0C12F110"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“Bottom-up — principal engineer builds, shares to the organization. Encourages others to follow.” (Tyler Malone)</w:t>
      </w:r>
    </w:p>
    <w:p w14:paraId="4DB6B460"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“Bottom-up — each team builds its own workflows.” (Mahesh)</w:t>
      </w:r>
    </w:p>
    <w:p w14:paraId="75329E3D"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“Bottom-up — engineers adopt Cursor naturally.” (Daniel Guzman)</w:t>
      </w:r>
    </w:p>
    <w:p w14:paraId="31ED826C"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“Network effects through internal marketplace.” (Dmitry Shkolnik)</w:t>
      </w:r>
    </w:p>
    <w:p w14:paraId="7FB1313D"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“Grassroots — ops teams identify their needs, build their apps.” (Mitchell Fierro)</w:t>
      </w:r>
    </w:p>
    <w:p w14:paraId="4BBAE05A" w14:textId="77777777" w:rsidR="00296FDA" w:rsidRDefault="00000000">
      <w:pPr>
        <w:pBdr>
          <w:top w:val="single" w:sz="1" w:space="0" w:color="DDDDDD"/>
        </w:pBdr>
        <w:spacing w:before="280" w:after="80"/>
      </w:pPr>
      <w:r>
        <w:rPr>
          <w:rFonts w:ascii="Arial" w:eastAsia="Arial" w:hAnsi="Arial" w:cs="Arial"/>
          <w:b/>
          <w:bCs/>
          <w:color w:val="1A1A1A"/>
          <w:sz w:val="22"/>
          <w:szCs w:val="22"/>
        </w:rPr>
        <w:t>Learning loops closing at different time horizons</w:t>
      </w:r>
      <w:r>
        <w:rPr>
          <w:rFonts w:ascii="Arial" w:eastAsia="Arial" w:hAnsi="Arial" w:cs="Arial"/>
          <w:color w:val="AAAAAA"/>
        </w:rPr>
        <w:t xml:space="preserve">   n=3 distinct patterns</w:t>
      </w:r>
    </w:p>
    <w:p w14:paraId="5B3DCBD0" w14:textId="77777777" w:rsidR="00296FDA" w:rsidRDefault="00000000">
      <w:pPr>
        <w:spacing w:after="100"/>
        <w:ind w:left="360"/>
      </w:pPr>
      <w:r>
        <w:rPr>
          <w:rFonts w:ascii="Arial" w:eastAsia="Arial" w:hAnsi="Arial" w:cs="Arial"/>
          <w:color w:val="333333"/>
        </w:rPr>
        <w:t>How frequently a firm closes its learning loop is a design choice with real trade-offs. No consensus on what’s optimal.</w:t>
      </w:r>
    </w:p>
    <w:p w14:paraId="6CC0D2B6"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Per-fix: every merged PR pushes context back into the relevant skill. (Daniel Guzman, Mitchell Fierro — PPTX case studies)</w:t>
      </w:r>
    </w:p>
    <w:p w14:paraId="3C607C64"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Daily: automated brain refresh. (Amrish Macedo — PPTX case study)</w:t>
      </w:r>
    </w:p>
    <w:p w14:paraId="5C90CDEF"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Weekly: AI Doctor meeting surfaces wins, mistakes, best practices. (Charles Barton — PPTX case study)</w:t>
      </w:r>
    </w:p>
    <w:p w14:paraId="3A394036" w14:textId="77777777" w:rsidR="00296FDA" w:rsidRDefault="00000000">
      <w:pPr>
        <w:pBdr>
          <w:top w:val="single" w:sz="1" w:space="0" w:color="DDDDDD"/>
        </w:pBdr>
        <w:spacing w:before="280" w:after="80"/>
      </w:pPr>
      <w:r>
        <w:rPr>
          <w:rFonts w:ascii="Arial" w:eastAsia="Arial" w:hAnsi="Arial" w:cs="Arial"/>
          <w:b/>
          <w:bCs/>
          <w:color w:val="1A1A1A"/>
          <w:sz w:val="22"/>
          <w:szCs w:val="22"/>
        </w:rPr>
        <w:t>Context pruning as a recurring operational practice</w:t>
      </w:r>
      <w:r>
        <w:rPr>
          <w:rFonts w:ascii="Arial" w:eastAsia="Arial" w:hAnsi="Arial" w:cs="Arial"/>
          <w:color w:val="AAAAAA"/>
        </w:rPr>
        <w:t xml:space="preserve">   n=2 explicit (~4 implied)</w:t>
      </w:r>
    </w:p>
    <w:p w14:paraId="41613128" w14:textId="77777777" w:rsidR="00296FDA" w:rsidRDefault="00000000">
      <w:pPr>
        <w:spacing w:after="100"/>
        <w:ind w:left="360"/>
      </w:pPr>
      <w:r>
        <w:rPr>
          <w:rFonts w:ascii="Arial" w:eastAsia="Arial" w:hAnsi="Arial" w:cs="Arial"/>
          <w:color w:val="333333"/>
        </w:rPr>
        <w:t>The brain/context layer degrades without active removal of stale information. Keeping it clean requires deleting outdated content, not just adding new content — an ongoing maintenance burden.</w:t>
      </w:r>
    </w:p>
    <w:p w14:paraId="48A7A7B1"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“Daily cleanup trims brain.” (Amrish Macedo — PPTX case study)</w:t>
      </w:r>
    </w:p>
    <w:p w14:paraId="62D91B2C"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“Context ownership + validation for context updates.” (Dmitry Shkolnik)</w:t>
      </w:r>
    </w:p>
    <w:p w14:paraId="07F5EC0F" w14:textId="77777777" w:rsidR="00296FDA" w:rsidRDefault="00296FD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FDA" w14:paraId="0921DF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4057"/>
            <w:tcMar>
              <w:top w:w="120" w:type="dxa"/>
              <w:left w:w="180" w:type="dxa"/>
              <w:bottom w:w="120" w:type="dxa"/>
              <w:right w:w="180" w:type="dxa"/>
            </w:tcMar>
          </w:tcPr>
          <w:p w14:paraId="006DA364" w14:textId="77777777" w:rsidR="00296FDA" w:rsidRDefault="00000000">
            <w:r>
              <w:rPr>
                <w:rFonts w:ascii="Arial" w:eastAsia="Arial" w:hAnsi="Arial" w:cs="Arial"/>
                <w:b/>
                <w:bCs/>
                <w:color w:val="FFFFFF"/>
                <w:sz w:val="26"/>
                <w:szCs w:val="26"/>
              </w:rPr>
              <w:t>5. Judgment &amp; Accountability</w:t>
            </w:r>
          </w:p>
        </w:tc>
      </w:tr>
    </w:tbl>
    <w:p w14:paraId="738F2ACB" w14:textId="77777777" w:rsidR="00296FDA" w:rsidRDefault="00296FDA">
      <w:pPr>
        <w:spacing w:after="80"/>
      </w:pPr>
    </w:p>
    <w:p w14:paraId="4BAD181C" w14:textId="77777777" w:rsidR="00296FDA" w:rsidRDefault="00000000">
      <w:pPr>
        <w:pBdr>
          <w:top w:val="single" w:sz="1" w:space="0" w:color="DDDDDD"/>
        </w:pBdr>
        <w:spacing w:before="280" w:after="80"/>
      </w:pPr>
      <w:r>
        <w:rPr>
          <w:rFonts w:ascii="Arial" w:eastAsia="Arial" w:hAnsi="Arial" w:cs="Arial"/>
          <w:b/>
          <w:bCs/>
          <w:color w:val="1A1A1A"/>
          <w:sz w:val="22"/>
          <w:szCs w:val="22"/>
        </w:rPr>
        <w:t>Trust and reputation as hard external limits on AI scope</w:t>
      </w:r>
      <w:r>
        <w:rPr>
          <w:rFonts w:ascii="Arial" w:eastAsia="Arial" w:hAnsi="Arial" w:cs="Arial"/>
          <w:color w:val="AAAAAA"/>
        </w:rPr>
        <w:t xml:space="preserve">   n=3–4</w:t>
      </w:r>
    </w:p>
    <w:p w14:paraId="4A82BFF7" w14:textId="77777777" w:rsidR="00296FDA" w:rsidRDefault="00000000" w:rsidP="00566D86">
      <w:pPr>
        <w:spacing w:after="100"/>
      </w:pPr>
      <w:r>
        <w:rPr>
          <w:rFonts w:ascii="Arial" w:eastAsia="Arial" w:hAnsi="Arial" w:cs="Arial"/>
          <w:color w:val="333333"/>
        </w:rPr>
        <w:t>Firms maintain human touchpoints not because the AI is inadequate, but because removing them would damage customer trust. This is a market constraint, not a capability constraint.</w:t>
      </w:r>
    </w:p>
    <w:p w14:paraId="150B3FC0"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“We always have a ‘talk to a human’ button in the UX at all times — because we cannot erode customer trust in the products.” (Vijay Devatha)</w:t>
      </w:r>
    </w:p>
    <w:p w14:paraId="6B995422"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Bounding box on customer-facing agents as explicit policy. (Aditya Nemmaluri)</w:t>
      </w:r>
    </w:p>
    <w:p w14:paraId="743D7CB5"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“Human CX agents validate before sending.” (Nishith Sahu)</w:t>
      </w:r>
    </w:p>
    <w:p w14:paraId="75E61C38" w14:textId="77777777" w:rsidR="00296FDA" w:rsidRDefault="00000000">
      <w:pPr>
        <w:pBdr>
          <w:top w:val="single" w:sz="1" w:space="0" w:color="DDDDDD"/>
        </w:pBdr>
        <w:spacing w:before="280" w:after="80"/>
      </w:pPr>
      <w:r>
        <w:rPr>
          <w:rFonts w:ascii="Arial" w:eastAsia="Arial" w:hAnsi="Arial" w:cs="Arial"/>
          <w:b/>
          <w:bCs/>
          <w:color w:val="1A1A1A"/>
          <w:sz w:val="22"/>
          <w:szCs w:val="22"/>
        </w:rPr>
        <w:lastRenderedPageBreak/>
        <w:t>Risk asymmetry between internal and external deployment</w:t>
      </w:r>
      <w:r>
        <w:rPr>
          <w:rFonts w:ascii="Arial" w:eastAsia="Arial" w:hAnsi="Arial" w:cs="Arial"/>
          <w:color w:val="AAAAAA"/>
        </w:rPr>
        <w:t xml:space="preserve">   n=3</w:t>
      </w:r>
    </w:p>
    <w:p w14:paraId="17D582E9" w14:textId="77777777" w:rsidR="00296FDA" w:rsidRDefault="00000000">
      <w:pPr>
        <w:spacing w:after="100"/>
        <w:ind w:left="360"/>
      </w:pPr>
      <w:r>
        <w:rPr>
          <w:rFonts w:ascii="Arial" w:eastAsia="Arial" w:hAnsi="Arial" w:cs="Arial"/>
          <w:color w:val="333333"/>
        </w:rPr>
        <w:t>Frontier firms have explicitly different risk tolerances for internal tools vs. customer-facing ones — more aggressive autonomy inside, stricter gates externally. An explicit design principle, not a temporary limitation.</w:t>
      </w:r>
    </w:p>
    <w:p w14:paraId="750BF424"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“Internal APIs = write-access for engineering only. Non-engineers = read-only + controlled API calls.” (Mitchell Fierro)</w:t>
      </w:r>
    </w:p>
    <w:p w14:paraId="66A1FE90"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Bounding box specifically for customer-facing agents, not internal ones. (Aditya Nemmaluri)</w:t>
      </w:r>
    </w:p>
    <w:p w14:paraId="6FAFD352"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“Existing templates = lighter review” vs. new external formats = full review. (Pat Sheth)</w:t>
      </w:r>
    </w:p>
    <w:p w14:paraId="474AD80A" w14:textId="77777777" w:rsidR="00296FDA" w:rsidRDefault="00000000">
      <w:pPr>
        <w:pBdr>
          <w:top w:val="single" w:sz="1" w:space="0" w:color="DDDDDD"/>
        </w:pBdr>
        <w:spacing w:before="280" w:after="80"/>
      </w:pPr>
      <w:r>
        <w:rPr>
          <w:rFonts w:ascii="Arial" w:eastAsia="Arial" w:hAnsi="Arial" w:cs="Arial"/>
          <w:b/>
          <w:bCs/>
          <w:color w:val="1A1A1A"/>
          <w:sz w:val="22"/>
          <w:szCs w:val="22"/>
        </w:rPr>
        <w:t>“Who’s accountable if this goes wrong?” as the operational HITL decision rule</w:t>
      </w:r>
      <w:r>
        <w:rPr>
          <w:rFonts w:ascii="Arial" w:eastAsia="Arial" w:hAnsi="Arial" w:cs="Arial"/>
          <w:color w:val="AAAAAA"/>
        </w:rPr>
        <w:t xml:space="preserve">   n=2</w:t>
      </w:r>
    </w:p>
    <w:p w14:paraId="1D4EDD03" w14:textId="77777777" w:rsidR="00296FDA" w:rsidRDefault="00000000">
      <w:pPr>
        <w:spacing w:after="100"/>
        <w:ind w:left="360"/>
      </w:pPr>
      <w:r>
        <w:rPr>
          <w:rFonts w:ascii="Arial" w:eastAsia="Arial" w:hAnsi="Arial" w:cs="Arial"/>
          <w:color w:val="333333"/>
        </w:rPr>
        <w:t>The practical test for where to put a human gate is a single question: if the agent is wrong, who owns the consequence? If a named person does, the gate is there.</w:t>
      </w:r>
    </w:p>
    <w:p w14:paraId="75818CB6"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“Who’s accountable if something goes wrong = criterion for placing a HITL.” (Alec Dickinson)</w:t>
      </w:r>
    </w:p>
    <w:p w14:paraId="06000D0B"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“Commit ownership = result ownership, agent or not.” (Michael Bernstein)</w:t>
      </w:r>
    </w:p>
    <w:p w14:paraId="5F9A90DB" w14:textId="77777777" w:rsidR="00296FDA" w:rsidRDefault="00296FD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FDA" w14:paraId="633B36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4057"/>
            <w:tcMar>
              <w:top w:w="120" w:type="dxa"/>
              <w:left w:w="180" w:type="dxa"/>
              <w:bottom w:w="120" w:type="dxa"/>
              <w:right w:w="180" w:type="dxa"/>
            </w:tcMar>
          </w:tcPr>
          <w:p w14:paraId="47B4194B" w14:textId="77777777" w:rsidR="00296FDA" w:rsidRDefault="00000000">
            <w:r>
              <w:rPr>
                <w:rFonts w:ascii="Arial" w:eastAsia="Arial" w:hAnsi="Arial" w:cs="Arial"/>
                <w:b/>
                <w:bCs/>
                <w:color w:val="FFFFFF"/>
                <w:sz w:val="26"/>
                <w:szCs w:val="26"/>
              </w:rPr>
              <w:t>6. AI Economics &amp; Value</w:t>
            </w:r>
          </w:p>
        </w:tc>
      </w:tr>
    </w:tbl>
    <w:p w14:paraId="71984855" w14:textId="77777777" w:rsidR="00296FDA" w:rsidRDefault="00296FDA">
      <w:pPr>
        <w:spacing w:after="80"/>
      </w:pPr>
    </w:p>
    <w:p w14:paraId="567F9072" w14:textId="77777777" w:rsidR="00296FDA" w:rsidRDefault="00000000">
      <w:pPr>
        <w:pBdr>
          <w:top w:val="single" w:sz="1" w:space="0" w:color="DDDDDD"/>
        </w:pBdr>
        <w:spacing w:before="280" w:after="80"/>
      </w:pPr>
      <w:r>
        <w:rPr>
          <w:rFonts w:ascii="Arial" w:eastAsia="Arial" w:hAnsi="Arial" w:cs="Arial"/>
          <w:b/>
          <w:bCs/>
          <w:color w:val="1A1A1A"/>
          <w:sz w:val="22"/>
          <w:szCs w:val="22"/>
        </w:rPr>
        <w:t>Model routing by task complexity as an active cost optimization</w:t>
      </w:r>
      <w:r>
        <w:rPr>
          <w:rFonts w:ascii="Arial" w:eastAsia="Arial" w:hAnsi="Arial" w:cs="Arial"/>
          <w:color w:val="AAAAAA"/>
        </w:rPr>
        <w:t xml:space="preserve">   n=2–3</w:t>
      </w:r>
    </w:p>
    <w:p w14:paraId="76D541F3" w14:textId="77777777" w:rsidR="00296FDA" w:rsidRDefault="00000000">
      <w:pPr>
        <w:spacing w:after="100"/>
        <w:ind w:left="360"/>
      </w:pPr>
      <w:r>
        <w:rPr>
          <w:rFonts w:ascii="Arial" w:eastAsia="Arial" w:hAnsi="Arial" w:cs="Arial"/>
          <w:color w:val="333333"/>
        </w:rPr>
        <w:t>Using cheaper/faster models for simple tasks and expensive/capable models for complex ones. Requires task classification and routing logic — a platform capability with direct cost implications.</w:t>
      </w:r>
    </w:p>
    <w:p w14:paraId="6E4FEDA0"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“Deliberate Haiku (routine) vs. Opus (complex) choice to optimize costs.” (Arnon)</w:t>
      </w:r>
    </w:p>
    <w:p w14:paraId="0B5C17FA"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“3 buckets: individual chat (under budget), coding (proactively limited), autonomous agents (engineered for efficiency).” (Kal Gangavarapu)</w:t>
      </w:r>
    </w:p>
    <w:p w14:paraId="6710873E"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“Cost and ETA estimated at each turn. Token cost vs. time to generate as feedback loop.” (Alec Dickinson)</w:t>
      </w:r>
    </w:p>
    <w:p w14:paraId="002142EC" w14:textId="77777777" w:rsidR="00296FDA" w:rsidRDefault="00000000">
      <w:pPr>
        <w:pBdr>
          <w:top w:val="single" w:sz="1" w:space="0" w:color="DDDDDD"/>
        </w:pBdr>
        <w:spacing w:before="280" w:after="80"/>
      </w:pPr>
      <w:r>
        <w:rPr>
          <w:rFonts w:ascii="Arial" w:eastAsia="Arial" w:hAnsi="Arial" w:cs="Arial"/>
          <w:b/>
          <w:bCs/>
          <w:color w:val="1A1A1A"/>
          <w:sz w:val="22"/>
          <w:szCs w:val="22"/>
        </w:rPr>
        <w:t>Token tiering by seniority — rationing AI capacity by demonstrated impact</w:t>
      </w:r>
      <w:r>
        <w:rPr>
          <w:rFonts w:ascii="Arial" w:eastAsia="Arial" w:hAnsi="Arial" w:cs="Arial"/>
          <w:color w:val="AAAAAA"/>
        </w:rPr>
        <w:t xml:space="preserve">   n=2</w:t>
      </w:r>
    </w:p>
    <w:p w14:paraId="171112B5" w14:textId="77777777" w:rsidR="00296FDA" w:rsidRDefault="00000000">
      <w:pPr>
        <w:spacing w:after="100"/>
        <w:ind w:left="360"/>
      </w:pPr>
      <w:r>
        <w:rPr>
          <w:rFonts w:ascii="Arial" w:eastAsia="Arial" w:hAnsi="Arial" w:cs="Arial"/>
          <w:color w:val="333333"/>
        </w:rPr>
        <w:t>A specific operational system where access tiers carry different daily caps, and upgrades require manager approval based on demonstrated value. Treats AI capacity as a scarce resource to be earned, not a utility to be consumed.</w:t>
      </w:r>
    </w:p>
    <w:p w14:paraId="05075B5D"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“3 buckets with different caps per use case type.” (Kal Gangavarapu)</w:t>
      </w:r>
    </w:p>
    <w:p w14:paraId="0648A3B6"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“When an engineer hits up against that cap frequently, their manager has to approve that they’re having a reasonable level of impact before they’re upgraded to T2.” (Charles Barton — PPTX case study)</w:t>
      </w:r>
    </w:p>
    <w:p w14:paraId="2BBD2723" w14:textId="77777777" w:rsidR="00296FDA" w:rsidRDefault="00000000">
      <w:pPr>
        <w:pBdr>
          <w:top w:val="single" w:sz="1" w:space="0" w:color="DDDDDD"/>
        </w:pBdr>
        <w:spacing w:before="280" w:after="80"/>
      </w:pPr>
      <w:r>
        <w:rPr>
          <w:rFonts w:ascii="Arial" w:eastAsia="Arial" w:hAnsi="Arial" w:cs="Arial"/>
          <w:b/>
          <w:bCs/>
          <w:color w:val="1A1A1A"/>
          <w:sz w:val="22"/>
          <w:szCs w:val="22"/>
        </w:rPr>
        <w:t>Experimentation budget as a deliberate pre-value mechanism</w:t>
      </w:r>
      <w:r>
        <w:rPr>
          <w:rFonts w:ascii="Arial" w:eastAsia="Arial" w:hAnsi="Arial" w:cs="Arial"/>
          <w:color w:val="AAAAAA"/>
        </w:rPr>
        <w:t xml:space="preserve">   n=2</w:t>
      </w:r>
    </w:p>
    <w:p w14:paraId="12932139" w14:textId="77777777" w:rsidR="00296FDA" w:rsidRDefault="00000000">
      <w:pPr>
        <w:spacing w:after="100"/>
        <w:ind w:left="360"/>
      </w:pPr>
      <w:r>
        <w:rPr>
          <w:rFonts w:ascii="Arial" w:eastAsia="Arial" w:hAnsi="Arial" w:cs="Arial"/>
          <w:color w:val="333333"/>
        </w:rPr>
        <w:t>A ring-fenced budget that doesn’t require ROI justification up front. The insight is that requiring ROI before experimentation kills the experimentation that would eventually produce ROI.</w:t>
      </w:r>
    </w:p>
    <w:p w14:paraId="316E338B"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“Experimentation budget to explore without risk. Not ‘yes to everything’ — unjustified cases shut down.” (Cullen Brown)</w:t>
      </w:r>
    </w:p>
    <w:p w14:paraId="6BBC18EF" w14:textId="77777777" w:rsidR="00296FDA" w:rsidRDefault="00000000">
      <w:pPr>
        <w:pStyle w:val="Paragraphedeliste"/>
        <w:numPr>
          <w:ilvl w:val="0"/>
          <w:numId w:val="3"/>
        </w:numPr>
        <w:spacing w:before="40" w:after="40"/>
      </w:pPr>
      <w:r>
        <w:rPr>
          <w:rFonts w:ascii="Arial" w:eastAsia="Arial" w:hAnsi="Arial" w:cs="Arial"/>
          <w:i/>
          <w:iCs/>
          <w:color w:val="666666"/>
          <w:sz w:val="18"/>
          <w:szCs w:val="18"/>
        </w:rPr>
        <w:t>“AI budget = experimentation budget for teams.” (Charles Barton)</w:t>
      </w:r>
    </w:p>
    <w:p w14:paraId="2A1586EE" w14:textId="77777777" w:rsidR="00296FDA" w:rsidRDefault="00296FDA">
      <w:pPr>
        <w:spacing w:after="200"/>
      </w:pPr>
    </w:p>
    <w:sectPr w:rsidR="00296FDA" w:rsidSect="00566D86">
      <w:pgSz w:w="12240" w:h="15840"/>
      <w:pgMar w:top="1440" w:right="1440" w:bottom="89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51980"/>
    <w:multiLevelType w:val="hybridMultilevel"/>
    <w:tmpl w:val="CCF09EE8"/>
    <w:lvl w:ilvl="0" w:tplc="9790ED6E">
      <w:start w:val="1"/>
      <w:numFmt w:val="bullet"/>
      <w:lvlText w:val="–"/>
      <w:lvlJc w:val="left"/>
      <w:pPr>
        <w:ind w:left="720" w:hanging="260"/>
      </w:pPr>
    </w:lvl>
    <w:lvl w:ilvl="1" w:tplc="4AA0605A">
      <w:numFmt w:val="decimal"/>
      <w:lvlText w:val=""/>
      <w:lvlJc w:val="left"/>
    </w:lvl>
    <w:lvl w:ilvl="2" w:tplc="DA0C98B6">
      <w:numFmt w:val="decimal"/>
      <w:lvlText w:val=""/>
      <w:lvlJc w:val="left"/>
    </w:lvl>
    <w:lvl w:ilvl="3" w:tplc="0CDA6EF6">
      <w:numFmt w:val="decimal"/>
      <w:lvlText w:val=""/>
      <w:lvlJc w:val="left"/>
    </w:lvl>
    <w:lvl w:ilvl="4" w:tplc="35DEE8C4">
      <w:numFmt w:val="decimal"/>
      <w:lvlText w:val=""/>
      <w:lvlJc w:val="left"/>
    </w:lvl>
    <w:lvl w:ilvl="5" w:tplc="2B76ADC0">
      <w:numFmt w:val="decimal"/>
      <w:lvlText w:val=""/>
      <w:lvlJc w:val="left"/>
    </w:lvl>
    <w:lvl w:ilvl="6" w:tplc="1376D236">
      <w:numFmt w:val="decimal"/>
      <w:lvlText w:val=""/>
      <w:lvlJc w:val="left"/>
    </w:lvl>
    <w:lvl w:ilvl="7" w:tplc="0890C5E6">
      <w:numFmt w:val="decimal"/>
      <w:lvlText w:val=""/>
      <w:lvlJc w:val="left"/>
    </w:lvl>
    <w:lvl w:ilvl="8" w:tplc="C6AE7DEE">
      <w:numFmt w:val="decimal"/>
      <w:lvlText w:val=""/>
      <w:lvlJc w:val="left"/>
    </w:lvl>
  </w:abstractNum>
  <w:abstractNum w:abstractNumId="1" w15:restartNumberingAfterBreak="0">
    <w:nsid w:val="5A9F3F3D"/>
    <w:multiLevelType w:val="hybridMultilevel"/>
    <w:tmpl w:val="B5FE4CD6"/>
    <w:lvl w:ilvl="0" w:tplc="310CF032">
      <w:start w:val="1"/>
      <w:numFmt w:val="bullet"/>
      <w:lvlText w:val="•"/>
      <w:lvlJc w:val="left"/>
      <w:pPr>
        <w:ind w:left="540" w:hanging="260"/>
      </w:pPr>
    </w:lvl>
    <w:lvl w:ilvl="1" w:tplc="37F07008">
      <w:numFmt w:val="decimal"/>
      <w:lvlText w:val=""/>
      <w:lvlJc w:val="left"/>
    </w:lvl>
    <w:lvl w:ilvl="2" w:tplc="5966287E">
      <w:numFmt w:val="decimal"/>
      <w:lvlText w:val=""/>
      <w:lvlJc w:val="left"/>
    </w:lvl>
    <w:lvl w:ilvl="3" w:tplc="C16A94A6">
      <w:numFmt w:val="decimal"/>
      <w:lvlText w:val=""/>
      <w:lvlJc w:val="left"/>
    </w:lvl>
    <w:lvl w:ilvl="4" w:tplc="1F9AB904">
      <w:numFmt w:val="decimal"/>
      <w:lvlText w:val=""/>
      <w:lvlJc w:val="left"/>
    </w:lvl>
    <w:lvl w:ilvl="5" w:tplc="6CBE5406">
      <w:numFmt w:val="decimal"/>
      <w:lvlText w:val=""/>
      <w:lvlJc w:val="left"/>
    </w:lvl>
    <w:lvl w:ilvl="6" w:tplc="ED56B402">
      <w:numFmt w:val="decimal"/>
      <w:lvlText w:val=""/>
      <w:lvlJc w:val="left"/>
    </w:lvl>
    <w:lvl w:ilvl="7" w:tplc="5FF83344">
      <w:numFmt w:val="decimal"/>
      <w:lvlText w:val=""/>
      <w:lvlJc w:val="left"/>
    </w:lvl>
    <w:lvl w:ilvl="8" w:tplc="1654F8A8">
      <w:numFmt w:val="decimal"/>
      <w:lvlText w:val=""/>
      <w:lvlJc w:val="left"/>
    </w:lvl>
  </w:abstractNum>
  <w:abstractNum w:abstractNumId="2" w15:restartNumberingAfterBreak="0">
    <w:nsid w:val="64B83778"/>
    <w:multiLevelType w:val="hybridMultilevel"/>
    <w:tmpl w:val="82A8D232"/>
    <w:lvl w:ilvl="0" w:tplc="504CE7A2">
      <w:start w:val="1"/>
      <w:numFmt w:val="bullet"/>
      <w:lvlText w:val="●"/>
      <w:lvlJc w:val="left"/>
      <w:pPr>
        <w:ind w:left="720" w:hanging="360"/>
      </w:pPr>
    </w:lvl>
    <w:lvl w:ilvl="1" w:tplc="F93E83F8">
      <w:start w:val="1"/>
      <w:numFmt w:val="bullet"/>
      <w:lvlText w:val="○"/>
      <w:lvlJc w:val="left"/>
      <w:pPr>
        <w:ind w:left="1440" w:hanging="360"/>
      </w:pPr>
    </w:lvl>
    <w:lvl w:ilvl="2" w:tplc="667E70A6">
      <w:start w:val="1"/>
      <w:numFmt w:val="bullet"/>
      <w:lvlText w:val="■"/>
      <w:lvlJc w:val="left"/>
      <w:pPr>
        <w:ind w:left="2160" w:hanging="360"/>
      </w:pPr>
    </w:lvl>
    <w:lvl w:ilvl="3" w:tplc="31EC793C">
      <w:start w:val="1"/>
      <w:numFmt w:val="bullet"/>
      <w:lvlText w:val="●"/>
      <w:lvlJc w:val="left"/>
      <w:pPr>
        <w:ind w:left="2880" w:hanging="360"/>
      </w:pPr>
    </w:lvl>
    <w:lvl w:ilvl="4" w:tplc="5C06B2CE">
      <w:start w:val="1"/>
      <w:numFmt w:val="bullet"/>
      <w:lvlText w:val="○"/>
      <w:lvlJc w:val="left"/>
      <w:pPr>
        <w:ind w:left="3600" w:hanging="360"/>
      </w:pPr>
    </w:lvl>
    <w:lvl w:ilvl="5" w:tplc="1E483302">
      <w:start w:val="1"/>
      <w:numFmt w:val="bullet"/>
      <w:lvlText w:val="■"/>
      <w:lvlJc w:val="left"/>
      <w:pPr>
        <w:ind w:left="4320" w:hanging="360"/>
      </w:pPr>
    </w:lvl>
    <w:lvl w:ilvl="6" w:tplc="5D68B5D8">
      <w:start w:val="1"/>
      <w:numFmt w:val="bullet"/>
      <w:lvlText w:val="●"/>
      <w:lvlJc w:val="left"/>
      <w:pPr>
        <w:ind w:left="5040" w:hanging="360"/>
      </w:pPr>
    </w:lvl>
    <w:lvl w:ilvl="7" w:tplc="AF96A29C">
      <w:start w:val="1"/>
      <w:numFmt w:val="bullet"/>
      <w:lvlText w:val="●"/>
      <w:lvlJc w:val="left"/>
      <w:pPr>
        <w:ind w:left="5760" w:hanging="360"/>
      </w:pPr>
    </w:lvl>
    <w:lvl w:ilvl="8" w:tplc="D5105730">
      <w:start w:val="1"/>
      <w:numFmt w:val="bullet"/>
      <w:lvlText w:val="●"/>
      <w:lvlJc w:val="left"/>
      <w:pPr>
        <w:ind w:left="6480" w:hanging="360"/>
      </w:pPr>
    </w:lvl>
  </w:abstractNum>
  <w:num w:numId="1" w16cid:durableId="858347298">
    <w:abstractNumId w:val="2"/>
    <w:lvlOverride w:ilvl="0">
      <w:startOverride w:val="1"/>
    </w:lvlOverride>
  </w:num>
  <w:num w:numId="2" w16cid:durableId="1964652469">
    <w:abstractNumId w:val="1"/>
    <w:lvlOverride w:ilvl="0">
      <w:startOverride w:val="1"/>
    </w:lvlOverride>
  </w:num>
  <w:num w:numId="3" w16cid:durableId="851184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FDA"/>
    <w:rsid w:val="00296FDA"/>
    <w:rsid w:val="00566D86"/>
    <w:rsid w:val="00E80C08"/>
  </w:rsids>
  <m:mathPr>
    <m:mathFont m:val="Cambria Math"/>
    <m:brkBin m:val="before"/>
    <m:brkBinSub m:val="--"/>
    <m:smallFrac m:val="0"/>
    <m:dispDef/>
    <m:lMargin m:val="0"/>
    <m:rMargin m:val="0"/>
    <m:defJc m:val="centerGroup"/>
    <m:wrapIndent m:val="1440"/>
    <m:intLim m:val="subSup"/>
    <m:naryLim m:val="undOvr"/>
  </m:mathPr>
  <w:themeFontLang w:val="fr-US" w:bidi="ar-SA"/>
  <w:clrSchemeMapping w:bg1="light1" w:t1="dark1" w:bg2="light2" w:t2="dark2" w:accent1="accent1" w:accent2="accent2" w:accent3="accent3" w:accent4="accent4" w:accent5="accent5" w:accent6="accent6" w:hyperlink="hyperlink" w:followedHyperlink="followedHyperlink"/>
  <w:decimalSymbol w:val="."/>
  <w:listSeparator w:val=";"/>
  <w14:docId w14:val="2C1F9ED1"/>
  <w15:docId w15:val="{D2F1DCD1-2ECF-DA44-A525-A54F8368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1714</Words>
  <Characters>9431</Characters>
  <Application>Microsoft Office Word</Application>
  <DocSecurity>0</DocSecurity>
  <Lines>78</Lines>
  <Paragraphs>22</Paragraphs>
  <ScaleCrop>false</ScaleCrop>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Djayep, Gilles Loic</cp:lastModifiedBy>
  <cp:revision>2</cp:revision>
  <dcterms:created xsi:type="dcterms:W3CDTF">2026-06-10T21:05:00Z</dcterms:created>
  <dcterms:modified xsi:type="dcterms:W3CDTF">2026-06-10T21:14:00Z</dcterms:modified>
</cp:coreProperties>
</file>