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ADR-0002: Shared rate limiting at the edge</w:t>
      </w:r>
    </w:p>
    <w:p>
      <w:r>
        <w:rPr>
          <w:i/>
        </w:rPr>
        <w:t>Status: accepted    Date: 2025-10-02    Author: t.lindqvist</w:t>
      </w:r>
    </w:p>
    <w:p>
      <w:pPr>
        <w:pStyle w:val="Heading2"/>
      </w:pPr>
      <w:r>
        <w:t>Context</w:t>
      </w:r>
    </w:p>
    <w:p>
      <w:r>
        <w:t>Each edge service implemented its own throttling with different semantics.</w:t>
      </w:r>
    </w:p>
    <w:p>
      <w:pPr>
        <w:pStyle w:val="Heading2"/>
      </w:pPr>
      <w:r>
        <w:t>Decision</w:t>
      </w:r>
    </w:p>
    <w:p>
      <w:r>
        <w:t>A single rate-limiter service backed by Redis serves all edge services.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One place to reason about limits.</w:t>
      </w:r>
    </w:p>
    <w:p>
      <w:pPr>
        <w:pStyle w:val="ListBullet"/>
      </w:pPr>
      <w:r>
        <w:t>rate-limiter becomes a tier-1 dependency and a shared failure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ADR-0002 Shared rate limiting at the edge</dc:title>
  <dc:subject/>
  <dc:creator>t.lindqvist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