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ADR-0004: Idempotency keys supplied by the client</w:t>
      </w:r>
    </w:p>
    <w:p>
      <w:r>
        <w:rPr>
          <w:i/>
        </w:rPr>
        <w:t>Status: accepted    Date: 2025-11-19    Author: j.barros</w:t>
      </w:r>
    </w:p>
    <w:p>
      <w:pPr>
        <w:pStyle w:val="Heading2"/>
      </w:pPr>
      <w:r>
        <w:t>Context</w:t>
      </w:r>
    </w:p>
    <w:p>
      <w:r>
        <w:t>Server-derived keys could not distinguish a retry from a new intent.</w:t>
      </w:r>
    </w:p>
    <w:p>
      <w:pPr>
        <w:pStyle w:val="Heading2"/>
      </w:pPr>
      <w:r>
        <w:t>Decision</w:t>
      </w:r>
    </w:p>
    <w:p>
      <w:r>
        <w:t>checkout-api requires a client-supplied Idempotency-Key header.</w:t>
      </w:r>
    </w:p>
    <w:p>
      <w:pPr>
        <w:pStyle w:val="Heading2"/>
      </w:pPr>
      <w:r>
        <w:t>Consequences</w:t>
      </w:r>
    </w:p>
    <w:p>
      <w:pPr>
        <w:pStyle w:val="ListBullet"/>
      </w:pPr>
      <w:r>
        <w:t>Retries are unambiguous.</w:t>
      </w:r>
    </w:p>
    <w:p>
      <w:pPr>
        <w:pStyle w:val="ListBullet"/>
      </w:pPr>
      <w:r>
        <w:t>Clients that omit the header are rejected.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ADR-0004 Idempotency keys supplied by the client</dc:title>
  <dc:subject/>
  <dc:creator>j.barros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