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ADR-0007: Transfer settlement-queue ownership to Platform</w:t>
      </w:r>
    </w:p>
    <w:p>
      <w:r>
        <w:rPr>
          <w:i/>
        </w:rPr>
        <w:t>Status: accepted    Date: 2026-02-11    Author: t.lindqvist</w:t>
      </w:r>
    </w:p>
    <w:p>
      <w:pPr>
        <w:pStyle w:val="Heading2"/>
      </w:pPr>
      <w:r>
        <w:t>Context</w:t>
      </w:r>
    </w:p>
    <w:p>
      <w:r>
        <w:t>settlement-queue is shared infrastructure used by settlement-worker and webhook-dispatcher, but was operated by Payments Core, who were not paged for webhook-side failures.</w:t>
      </w:r>
    </w:p>
    <w:p>
      <w:pPr>
        <w:pStyle w:val="Heading2"/>
      </w:pPr>
      <w:r>
        <w:t>Decision</w:t>
      </w:r>
    </w:p>
    <w:p>
      <w:r>
        <w:t>Ownership of settlement-queue transfers from Payments Core to the Platform team, effective 2026-02-20. Platform becomes the paging destination for all settlement-queue alerts.</w:t>
      </w:r>
    </w:p>
    <w:p>
      <w:pPr>
        <w:pStyle w:val="Heading2"/>
      </w:pPr>
      <w:r>
        <w:t>Consequences</w:t>
      </w:r>
    </w:p>
    <w:p>
      <w:pPr>
        <w:pStyle w:val="ListBullet"/>
      </w:pPr>
      <w:r>
        <w:t>One owner for shared infrastructure.</w:t>
      </w:r>
    </w:p>
    <w:p>
      <w:pPr>
        <w:pStyle w:val="ListBullet"/>
      </w:pPr>
      <w:r>
        <w:t>The service catalogue must be updated to reflect the new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ADR-0007 Transfer settlement-queue ownership to Platform</dc:title>
  <dc:subject/>
  <dc:creator>t.lindqvist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