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ADR-0010: Adaptive rate limiting for acquirer 429s</w:t>
      </w:r>
    </w:p>
    <w:p>
      <w:r>
        <w:rPr>
          <w:i/>
        </w:rPr>
        <w:t>Status: proposed    Date: 2026-08-12    Author: d.nakamura</w:t>
      </w:r>
    </w:p>
    <w:p>
      <w:pPr>
        <w:pStyle w:val="Heading2"/>
      </w:pPr>
      <w:r>
        <w:t>Context</w:t>
      </w:r>
    </w:p>
    <w:p>
      <w:r>
        <w:t>INC-2026-08-07 showed settlement-worker had no backpressure response.</w:t>
      </w:r>
    </w:p>
    <w:p>
      <w:pPr>
        <w:pStyle w:val="Heading2"/>
      </w:pPr>
      <w:r>
        <w:t>Decision</w:t>
      </w:r>
    </w:p>
    <w:p>
      <w:r>
        <w:t>settlement-worker will reduce its request rate in response to 429 responses, with a floor of 10% of nominal throughput.</w:t>
      </w:r>
    </w:p>
    <w:p>
      <w:pPr>
        <w:pStyle w:val="Heading2"/>
      </w:pPr>
      <w:r>
        <w:t>Consequences</w:t>
      </w:r>
    </w:p>
    <w:p>
      <w:pPr>
        <w:pStyle w:val="ListBullet"/>
      </w:pPr>
      <w:r>
        <w:t>Backlogs recover without manual intervention.</w:t>
      </w:r>
    </w:p>
    <w:p>
      <w:pPr>
        <w:pStyle w:val="ListBullet"/>
      </w:pPr>
      <w:r>
        <w:t>Settlement may take longer under sustained throttling.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ADR-0010 Adaptive rate limiting for acquirer 429s</dc:title>
  <dc:subject/>
  <dc:creator>d.nakamura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