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dodici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opere a blocchi (il programma ne è il telaio): 2.700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VII. Il codice e la sua trasmissione (1.000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mille volte col corpus — un'opera in tredici serie di blocchi mirati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mille volte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 così l'attesta la sua stessa nota biografica ufficiale e così lo intesta l'</w:t>
      </w:r>
      <w:r>
        <w:rPr>
          <w:rFonts w:ascii="Barlow Semi Condensed" w:cs="Barlow Semi Condensed" w:eastAsia="Barlow Semi Condensed" w:hAnsi="Barlow Semi Condensed"/>
          <w:i w:val="false"/>
          <w:iCs w:val="false"/>
          <w:sz w:val="24"/>
          <w:szCs w:val="24"/>
        </w:rPr>
        <w:t xml:space="preserve">Office of the Historian</w:t>
      </w:r>
      <w:r>
        <w:rPr>
          <w:rFonts w:ascii="Barlow Semi Condensed" w:cs="Barlow Semi Condensed" w:eastAsia="Barlow Semi Condensed" w:hAnsi="Barlow Semi Condensed"/>
          <w:i w:val="false"/>
          <w:iCs w:val="false"/>
          <w:sz w:val="24"/>
          <w:szCs w:val="24"/>
        </w:rPr>
        <w:t xml:space="preserve"> del Dipartimento di Stato —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w:t>
      </w:r>
      <w:r>
        <w:rPr>
          <w:rFonts w:ascii="Barlow Semi Condensed" w:cs="Barlow Semi Condensed" w:eastAsia="Barlow Semi Condensed" w:hAnsi="Barlow Semi Condensed"/>
          <w:b/>
          <w:bCs/>
          <w:i w:val="false"/>
          <w:iCs w:val="false"/>
          <w:sz w:val="24"/>
          <w:szCs w:val="24"/>
        </w:rPr>
        <w:t xml:space="preserve">E il primo esempio della lente si rivela subito un caso di trasmissione imprecisa.</w:t>
      </w:r>
      <w:r>
        <w:rPr>
          <w:rFonts w:ascii="Barlow Semi Condensed" w:cs="Barlow Semi Condensed" w:eastAsia="Barlow Semi Condensed" w:hAnsi="Barlow Semi Condensed"/>
          <w:i w:val="false"/>
          <w:iCs w:val="false"/>
          <w:sz w:val="24"/>
          <w:szCs w:val="24"/>
        </w:rPr>
        <w:t xml:space="preserve"> L'emigrazione è datata con esattezza — la famiglia lasciò 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e sbarcò a New York il </w:t>
      </w:r>
      <w:r>
        <w:rPr>
          <w:rFonts w:ascii="Barlow Semi Condensed" w:cs="Barlow Semi Condensed" w:eastAsia="Barlow Semi Condensed" w:hAnsi="Barlow Semi Condensed"/>
          <w:b/>
          <w:bCs/>
          <w:i w:val="false"/>
          <w:iCs w:val="false"/>
          <w:sz w:val="24"/>
          <w:szCs w:val="24"/>
        </w:rPr>
        <w:t xml:space="preserve">5 settembre 1938</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e le fonti divergono in modo che la verifica di quest'opera ha potuto misurare. Le opere di consultazione lo collocano genericamente «nel 1938», al momento dello sbarco o poco dopo, </w:t>
      </w:r>
      <w:r>
        <w:rPr>
          <w:rFonts w:ascii="Barlow Semi Condensed" w:cs="Barlow Semi Condensed" w:eastAsia="Barlow Semi Condensed" w:hAnsi="Barlow Semi Condensed"/>
          <w:b/>
          <w:bCs/>
          <w:i w:val="false"/>
          <w:iCs w:val="false"/>
          <w:sz w:val="24"/>
          <w:szCs w:val="24"/>
        </w:rPr>
        <w:t xml:space="preserve">senza citare documenti</w:t>
      </w:r>
      <w:r>
        <w:rPr>
          <w:rFonts w:ascii="Barlow Semi Condensed" w:cs="Barlow Semi Condensed" w:eastAsia="Barlow Semi Condensed" w:hAnsi="Barlow Semi Condensed"/>
          <w:i w:val="false"/>
          <w:iCs w:val="false"/>
          <w:sz w:val="24"/>
          <w:szCs w:val="24"/>
        </w:rPr>
        <w:t xml:space="preserve">; la documentazione d'archivio dice altro: il fascicolo d'immigrazione e naturalizzazione, ottenuto per accesso agli atti da una rivista statunitense, colloca l'abbandono di «Heinz» </w:t>
      </w:r>
      <w:r>
        <w:rPr>
          <w:rFonts w:ascii="Barlow Semi Condensed" w:cs="Barlow Semi Condensed" w:eastAsia="Barlow Semi Condensed" w:hAnsi="Barlow Semi Condensed"/>
          <w:b/>
          <w:bCs/>
          <w:i w:val="false"/>
          <w:iCs w:val="false"/>
          <w:sz w:val="24"/>
          <w:szCs w:val="24"/>
        </w:rPr>
        <w:t xml:space="preserve">durante il servizio militare</w:t>
      </w:r>
      <w:r>
        <w:rPr>
          <w:rFonts w:ascii="Barlow Semi Condensed" w:cs="Barlow Semi Condensed" w:eastAsia="Barlow Semi Condensed" w:hAnsi="Barlow Semi Condensed"/>
          <w:i w:val="false"/>
          <w:iCs w:val="false"/>
          <w:sz w:val="24"/>
          <w:szCs w:val="24"/>
        </w:rPr>
        <w:t xml:space="preserve">, intorno al 1942-1943, e la naturalizzazione è del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nella Carolina del Sud. Nella stessa direzione va la biografia critica di Niall Ferguson, che negli anni newyorkesi lo chiama ancora Heinz.  È un esito piccolo e istruttivo, e vale la pena fermarvisi: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Il primo caso concreto della metafora è dunque esso stesso un caso in cui </w:t>
      </w:r>
      <w:r>
        <w:rPr>
          <w:rFonts w:ascii="Barlow Semi Condensed" w:cs="Barlow Semi Condensed" w:eastAsia="Barlow Semi Condensed" w:hAnsi="Barlow Semi Condensed"/>
          <w:b/>
          <w:bCs/>
          <w:i w:val="false"/>
          <w:iCs w:val="false"/>
          <w:sz w:val="24"/>
          <w:szCs w:val="24"/>
        </w:rPr>
        <w:t xml:space="preserve">il documento non dice ciò che la vulgata ripete</w:t>
      </w:r>
      <w:r>
        <w:rPr>
          <w:rFonts w:ascii="Barlow Semi Condensed" w:cs="Barlow Semi Condensed" w:eastAsia="Barlow Semi Condensed" w:hAnsi="Barlow Semi Condensed"/>
          <w:i w:val="false"/>
          <w:iCs w:val="false"/>
          <w:sz w:val="24"/>
          <w:szCs w:val="24"/>
        </w:rPr>
        <w:t xml:space="preserve"> — e la vulgata non è meno diffusa per questo. La lente serve esattamente a questo: non a suggerire, ma a costringere a guardare dove il dato si assottiglia. Chi cerchi nel cambio di un nome la chiave di una vita ha già lasciato la documentazione; e chi lo dati senza aprire il fascicolo ha già sbagliato di un lustro.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che è il metro dell'intera triangolazione: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La verifica condotta per quest'opera lo accerta: nel verbale non compare alcuna minaccia personale; ciò che vi è attestato è altro — la posizione statunitense sul non poter scambiare informazioni militari nel caso di un ingresso comunista al governo.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che è cosa diversa e dice altro.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regola di lettura, un accertamento con grado dichiarato o una lacuna verbalizzata. È la stessa forma delle opere gemelle del branch — il manuale in quattrocento blocchi, l'agenda in trecento, i nove cantieri in mille — e serve allo stesso scopo: </w:t>
      </w:r>
      <w:r>
        <w:rPr>
          <w:rFonts w:ascii="Barlow Semi Condensed" w:cs="Barlow Semi Condensed" w:eastAsia="Barlow Semi Condensed" w:hAnsi="Barlow Semi Condensed"/>
          <w:b/>
          <w:bCs/>
          <w:i w:val="false"/>
          <w:iCs w:val="false"/>
          <w:sz w:val="24"/>
          <w:szCs w:val="24"/>
        </w:rPr>
        <w:t xml:space="preserve">rendere il lavoro eseguibile da altri</w:t>
      </w:r>
      <w:r>
        <w:rPr>
          <w:rFonts w:ascii="Barlow Semi Condensed" w:cs="Barlow Semi Condensed" w:eastAsia="Barlow Semi Condensed" w:hAnsi="Barlow Semi Condensed"/>
          <w:i w:val="false"/>
          <w:iCs w:val="false"/>
          <w:sz w:val="24"/>
          <w:szCs w:val="24"/>
        </w:rPr>
        <w:t xml:space="preserve">, e falsificabile.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mille volte col corpus — un'opera in tredici serie di blocchi mirati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mille volte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 così l'attesta la sua stessa nota biografica ufficiale e così lo intesta l'</w:t>
      </w:r>
      <w:r>
        <w:rPr>
          <w:rFonts w:ascii="Barlow Semi Condensed" w:cs="Barlow Semi Condensed" w:eastAsia="Barlow Semi Condensed" w:hAnsi="Barlow Semi Condensed"/>
          <w:i w:val="false"/>
          <w:iCs w:val="false"/>
          <w:sz w:val="24"/>
          <w:szCs w:val="24"/>
        </w:rPr>
        <w:t xml:space="preserve">Office of the Historian</w:t>
      </w:r>
      <w:r>
        <w:rPr>
          <w:rFonts w:ascii="Barlow Semi Condensed" w:cs="Barlow Semi Condensed" w:eastAsia="Barlow Semi Condensed" w:hAnsi="Barlow Semi Condensed"/>
          <w:i w:val="false"/>
          <w:iCs w:val="false"/>
          <w:sz w:val="24"/>
          <w:szCs w:val="24"/>
        </w:rPr>
        <w:t xml:space="preserve"> del Dipartimento di Stato —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w:t>
      </w:r>
      <w:r>
        <w:rPr>
          <w:rFonts w:ascii="Barlow Semi Condensed" w:cs="Barlow Semi Condensed" w:eastAsia="Barlow Semi Condensed" w:hAnsi="Barlow Semi Condensed"/>
          <w:b/>
          <w:bCs/>
          <w:i w:val="false"/>
          <w:iCs w:val="false"/>
          <w:sz w:val="24"/>
          <w:szCs w:val="24"/>
        </w:rPr>
        <w:t xml:space="preserve">E il primo esempio della lente si rivela subito un caso di trasmissione imprecisa.</w:t>
      </w:r>
      <w:r>
        <w:rPr>
          <w:rFonts w:ascii="Barlow Semi Condensed" w:cs="Barlow Semi Condensed" w:eastAsia="Barlow Semi Condensed" w:hAnsi="Barlow Semi Condensed"/>
          <w:i w:val="false"/>
          <w:iCs w:val="false"/>
          <w:sz w:val="24"/>
          <w:szCs w:val="24"/>
        </w:rPr>
        <w:t xml:space="preserve"> L'emigrazione è datata con esattezza — la famiglia lasciò 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e sbarcò a New York il </w:t>
      </w:r>
      <w:r>
        <w:rPr>
          <w:rFonts w:ascii="Barlow Semi Condensed" w:cs="Barlow Semi Condensed" w:eastAsia="Barlow Semi Condensed" w:hAnsi="Barlow Semi Condensed"/>
          <w:b/>
          <w:bCs/>
          <w:i w:val="false"/>
          <w:iCs w:val="false"/>
          <w:sz w:val="24"/>
          <w:szCs w:val="24"/>
        </w:rPr>
        <w:t xml:space="preserve">5 settembre 1938</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e le fonti divergono in modo che la verifica di quest'opera ha potuto misurare. Le opere di consultazione lo collocano genericamente «nel 1938», al momento dello sbarco o poco dopo, </w:t>
      </w:r>
      <w:r>
        <w:rPr>
          <w:rFonts w:ascii="Barlow Semi Condensed" w:cs="Barlow Semi Condensed" w:eastAsia="Barlow Semi Condensed" w:hAnsi="Barlow Semi Condensed"/>
          <w:b/>
          <w:bCs/>
          <w:i w:val="false"/>
          <w:iCs w:val="false"/>
          <w:sz w:val="24"/>
          <w:szCs w:val="24"/>
        </w:rPr>
        <w:t xml:space="preserve">senza citare documenti</w:t>
      </w:r>
      <w:r>
        <w:rPr>
          <w:rFonts w:ascii="Barlow Semi Condensed" w:cs="Barlow Semi Condensed" w:eastAsia="Barlow Semi Condensed" w:hAnsi="Barlow Semi Condensed"/>
          <w:i w:val="false"/>
          <w:iCs w:val="false"/>
          <w:sz w:val="24"/>
          <w:szCs w:val="24"/>
        </w:rPr>
        <w:t xml:space="preserve">; la documentazione d'archivio dice altro: il fascicolo d'immigrazione e naturalizzazione, ottenuto per accesso agli atti da una rivista statunitense, colloca l'abbandono di «Heinz» </w:t>
      </w:r>
      <w:r>
        <w:rPr>
          <w:rFonts w:ascii="Barlow Semi Condensed" w:cs="Barlow Semi Condensed" w:eastAsia="Barlow Semi Condensed" w:hAnsi="Barlow Semi Condensed"/>
          <w:b/>
          <w:bCs/>
          <w:i w:val="false"/>
          <w:iCs w:val="false"/>
          <w:sz w:val="24"/>
          <w:szCs w:val="24"/>
        </w:rPr>
        <w:t xml:space="preserve">durante il servizio militare</w:t>
      </w:r>
      <w:r>
        <w:rPr>
          <w:rFonts w:ascii="Barlow Semi Condensed" w:cs="Barlow Semi Condensed" w:eastAsia="Barlow Semi Condensed" w:hAnsi="Barlow Semi Condensed"/>
          <w:i w:val="false"/>
          <w:iCs w:val="false"/>
          <w:sz w:val="24"/>
          <w:szCs w:val="24"/>
        </w:rPr>
        <w:t xml:space="preserve">, intorno al 1942-1943, e la naturalizzazione è del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nella Carolina del Sud. Nella stessa direzione va la biografia critica di Niall Ferguson, che negli anni newyorkesi lo chiama ancora Heinz.  È un esito piccolo e istruttivo, e vale la pena fermarvisi: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Il primo caso concreto della metafora è dunque esso stesso un caso in cui </w:t>
      </w:r>
      <w:r>
        <w:rPr>
          <w:rFonts w:ascii="Barlow Semi Condensed" w:cs="Barlow Semi Condensed" w:eastAsia="Barlow Semi Condensed" w:hAnsi="Barlow Semi Condensed"/>
          <w:b/>
          <w:bCs/>
          <w:i w:val="false"/>
          <w:iCs w:val="false"/>
          <w:sz w:val="24"/>
          <w:szCs w:val="24"/>
        </w:rPr>
        <w:t xml:space="preserve">il documento non dice ciò che la vulgata ripete</w:t>
      </w:r>
      <w:r>
        <w:rPr>
          <w:rFonts w:ascii="Barlow Semi Condensed" w:cs="Barlow Semi Condensed" w:eastAsia="Barlow Semi Condensed" w:hAnsi="Barlow Semi Condensed"/>
          <w:i w:val="false"/>
          <w:iCs w:val="false"/>
          <w:sz w:val="24"/>
          <w:szCs w:val="24"/>
        </w:rPr>
        <w:t xml:space="preserve"> — e la vulgata non è meno diffusa per questo. La lente serve esattamente a questo: non a suggerire, ma a costringere a guardare dove il dato si assottiglia. Chi cerchi nel cambio di un nome la chiave di una vita ha già lasciato la documentazione; e chi lo dati senza aprire il fascicolo ha già sbagliato di un lustro.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che è il metro dell'intera triangolazione: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La verifica condotta per quest'opera lo accerta: nel verbale non compare alcuna minaccia personale; ciò che vi è attestato è altro — la posizione statunitense sul non poter scambiare informazioni militari nel caso di un ingresso comunista al governo.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che è cosa diversa e dice altro.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regola di lettura, un accertamento con grado dichiarato o una lacuna verbalizzata. È la stessa forma delle opere gemelle del branch — il manuale in quattrocento blocchi, l'agenda in trecento, i nove cantieri in mille — e serve allo stesso scopo: </w:t>
      </w:r>
      <w:r>
        <w:rPr>
          <w:rFonts w:ascii="Barlow Semi Condensed" w:cs="Barlow Semi Condensed" w:eastAsia="Barlow Semi Condensed" w:hAnsi="Barlow Semi Condensed"/>
          <w:b/>
          <w:bCs/>
          <w:i w:val="false"/>
          <w:iCs w:val="false"/>
          <w:sz w:val="24"/>
          <w:szCs w:val="24"/>
        </w:rPr>
        <w:t xml:space="preserve">rendere il lavoro eseguibile da altri</w:t>
      </w:r>
      <w:r>
        <w:rPr>
          <w:rFonts w:ascii="Barlow Semi Condensed" w:cs="Barlow Semi Condensed" w:eastAsia="Barlow Semi Condensed" w:hAnsi="Barlow Semi Condensed"/>
          <w:i w:val="false"/>
          <w:iCs w:val="false"/>
          <w:sz w:val="24"/>
          <w:szCs w:val="24"/>
        </w:rPr>
        <w:t xml:space="preserve">, e falsificabile.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piu precise e non a emettere sentenze. Ogni volta che la metafora spingera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responsabilita: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ne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e il testo scritto; il fenotipo e l'atto compiuto. La serie li tratta come oggetti separati e non deducibili l'uno dall'altro: da cio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e omologia, oppure essersi formate per funzione simile in ambienti simili, ed e analogia. Solo la prima e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cosi: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e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e stato condannato in alcun processo, e nessun blocco di quest'opera puo indicarlo come responsabile di reato. La regola non e personale ma generale: nessuno e indicato come responsabile oltre il giudicato definitivo, e cio che questa serie studia e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e un fatto pubblico documentato; e non e nulla di piu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ne che il citante ne condivida la tesi, ne che l'abbia appresa da li, perche la citazione puo venire da un'antologia, da una recensione, dall'appunto di un terzo. Soprattutto non prova alcun rapporto fra le persone: si cita un morto, un avversario, uno sconosciuto, e nessuno di questi rapporti e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E la forma piu fraintesa: l'autore cita per confutare, e il repertorio bibliografico registra un legame che nel testo e una rottura. Chi costruisce un albero contando le occorrenze senza leggerne il segno ottiene una parentela rovesciata, dove l'antenato e in realta il bersaglio; ed e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d'autorita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d'autorita,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gia la regola al blocco 309 dei nove cantieri: ogni carta dichiara fondo, serie e busta, perche la fonte senza segnatura e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e il criterio piu forte di cui questa serie disponga — se due autori ripetono la stessa citazione sbagliata, la stessa data errata, lo stesso refuso di traduzione, la derivazione e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e opposto: se il presunto discendente conserva un elemento che il presunto antenato non ha mai avuto o aveva perduto, non puo derivare da lui. E lo strumento che falsifica un ramo invece di confermarlo, ed e la ragione per cui ogni derivazione proposta in questa serie deve indicare accanto a se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e parentela.</w:t>
      </w:r>
      <w:r>
        <w:rPr>
          <w:rFonts w:ascii="Barlow Semi Condensed" w:cs="Barlow Semi Condensed" w:eastAsia="Barlow Semi Condensed" w:hAnsi="Barlow Semi Condensed"/>
          <w:sz w:val="24"/>
          <w:szCs w:val="24"/>
        </w:rPr>
        <w:t xml:space="preserve"> Equilibrio, stabilita, interesse nazionale, legittimita: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e diagnostico.</w:t>
      </w:r>
      <w:r>
        <w:rPr>
          <w:rFonts w:ascii="Barlow Semi Condensed" w:cs="Barlow Semi Condensed" w:eastAsia="Barlow Semi Condensed" w:hAnsi="Barlow Semi Condensed"/>
          <w:sz w:val="24"/>
          <w:szCs w:val="24"/>
        </w:rPr>
        <w:t xml:space="preserve"> Cio che discrimina e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e indicato come tale dall'allievo stesso in un testo datato e verificabile, oppure attestato da un atto istituzionale: l'iscrizione a un corso, la firma su una tesi, il verbale di una commissione. E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e influenza inferita: il lettore riconosce un'aria di famiglia fra due pagine e la battezza discendenza. Come ipotesi e operazione legittima e sta al grado C finche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e insieme il documento piu preciso e il piu protetto: attesta corsi, date e voti, e quasi ovunque soggiace a restrizioni di riservatezza. Il quesito e percio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e reperire le carte del docente e i verbali di commissione presso gli archivi dell'ateneo. Anche accertato, resterebbe rapporto di formazione, che non e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e il congresso di Vienna e la domanda su come un ordine internazionale acquisti legittimita: e la tradizione dell'equilibrio europeo, che ha ascendenti propri e nessuna relazione originaria con l'Italia del Novecento. Ricostruirne l'albero e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e, nei termini della lente, l'apparato di replicazione per eccellenza. Il quesito e puntuale e chiudibile: reperire presso gli Harvard University Archives gli elenchi dei partecipanti annata per annata e verificare se vi figurino italiani, con nomi e date. Finche l'elenco non e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fondo e diresse in quegli stessi anni, Confluence: pubblicare significa selezionare quali formule circolano e con quale firma. Il quesito e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gia il caso di scuola: le Brigate Rosse indicarono in Ernesto Guevara il proprio modello individuale dichiarato, e Renato Curcio disse che si ando a scuola di guerriglia da Feltrinelli. La filiazione dottrinale sta dunque al grado piu alto, ed e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cio che altri fecero invocandolo. La regola che assolve l'uno assolve l'altro, e usarla a intermittenza e la forma piu comune di disonesta analitica.</w:t>
      </w:r>
    </w:p>
    <w:p>
      <w:pPr>
        <w:spacing w:after="120" w:line="276"/>
        <w:jc w:val="both"/>
      </w:pPr>
      <w:r>
        <w:rPr>
          <w:rFonts w:ascii="Barlow Semi Condensed" w:cs="Barlow Semi Condensed" w:eastAsia="Barlow Semi Condensed" w:hAnsi="Barlow Semi Condensed"/>
          <w:b/>
          <w:bCs/>
          <w:sz w:val="24"/>
          <w:szCs w:val="24"/>
        </w:rPr>
        <w:t xml:space="preserve">162 · Che cos'e un albero dottrinale.</w:t>
      </w:r>
      <w:r>
        <w:rPr>
          <w:rFonts w:ascii="Barlow Semi Condensed" w:cs="Barlow Semi Condensed" w:eastAsia="Barlow Semi Condensed" w:hAnsi="Barlow Semi Condensed"/>
          <w:sz w:val="24"/>
          <w:szCs w:val="24"/>
        </w:rPr>
        <w:t xml:space="preserve"> Un albero dottrinale e un'ipotesi di parentela fra testi, non fra persone, costruita su caratteri dichiarati e confutabile carattere per carattere. Ha nodi che sono opere datate, rami che sono derivazioni documentate, e una radice che e il testo piu antico attestato: non l'idea piu generale, la quale non e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e enunciabile in modo che un secondo lettore, davanti alla stessa pagina, possa dire se sia presente o assente; un carattere come realismo non lo e,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e diagnostico ma d'epoca. E il controllo che manca a quasi tutte le genealogie intellettuali della pubblicistica, ed e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e criterio di economia, non prova, e va dichiarato come tale. La storia delle idee e ricca di ripetizioni indipendenti, sicche un albero piu semplice puo essere piu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e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e documentato si registra come tale; dove e soltanto possibile si dichiara che l'albero e una semplificazione di una rete, e non se ne traggono conseguenze di priorita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e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e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piu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estraneita: prova in prima istanza che nessuno ha ancora scritto lo studio che li tratta insieme. La procedura del corpus e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e impersonale e sopporta percio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e indecidibile allo stato, e questo e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piu debole; nella storia delle idee l'indipendenza e rara, perche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piu banale e piu spesso omesso e cronologico: il presunto antenato deve essere anteriore e accessibile — pubblicato, tradotto, circolante — prima del testo che se ne direbbe derivato. Una traduzione italiana successiva all'atto che avrebbe ispirato chiude la questione; ed e la ragione per cui ogni ramo porta due date, quella dell'originale e quella della disponibilita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perche affrontano lo stesso problema con gli stessi strumenti concettuali disponibili: in biologia si chiama convergenza e non e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credibilita, distensione, contenimento — e non poteva non usarlo. Lo strumento che ne deriva e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gia coniato la categoria: due esiti simultanei che discendono provatamente dallo stesso evento e non l'uno dall'altro. Il 1973 cileno ne e l'esempio maggiore, poiche dal medesimo fatto la sinistra rivoluzionaria trasse la conferma dell'inutilita delle urne e Berlinguer la necessita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simultaneita delle reazioni e il grado piu basso della griglia: meno della convergenza di obiettivo documentata, meno della comunanza di ambiente istituzionale. Che fra il 1973 e il 1974 la questione del comunismo al governo occupasse insieme Washington, Roma e Botteghe Oscure e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e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Stabilita significa cose diverse in due tradizioni: conservazione di un assetto nella prima, allargamento graduale del perimetro democratico nella seconda. Un albero costruito sulle parole e non sui loro referenti unisce cio che e opposto; la regola operativa e che ogni carattere sia definito con l'esempio concreto che l'autore ne da,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e il piano due e nulla di piu.</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e la piu suggestiva delle due: e che il quesito resta aperto, con l'evidenza discriminante nominata e la sede dove cercarla. L'agenda lo prescrive al blocco 297 — alla generazione successiva si consegnano domande pulite, non sospetti gia orientati.</w:t>
      </w:r>
    </w:p>
    <w:p>
      <w:pPr>
        <w:spacing w:after="120" w:line="276"/>
        <w:jc w:val="both"/>
      </w:pPr>
      <w:r>
        <w:rPr>
          <w:rFonts w:ascii="Barlow Semi Condensed" w:cs="Barlow Semi Condensed" w:eastAsia="Barlow Semi Condensed" w:hAnsi="Barlow Semi Condensed"/>
          <w:b/>
          <w:bCs/>
          <w:sz w:val="24"/>
          <w:szCs w:val="24"/>
        </w:rPr>
        <w:t xml:space="preserve">182 · La dottrina non e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e prova di alcuna condotta. Vale per chi scrisse di equilibrio europeo come per chi lesse i manuali della guerriglia; cio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E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e la prova migliore che dal testo non si deduce l'atto, perche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e riferito da Corrado Guerzoni e confermato da Eleonora Chiavarelli Moro in sede parlamentare, ed e stato sempre smentito da Kissinger: e testimonianza contestata, di grado B debole, e nessun blocco puo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e usare il corpus accademico come riscontro della testimonianza: poiche l'autore aveva scritto in un certo modo, allora avrebbe pronunciato quelle parole. E l'inferenza dal genotipo al fenotipo individuale, ed e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e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cio che vi dice l'uno non si estende all'altro per contiguita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L'anteriorita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e anteriore all'insediamento di Moro alla Farnesina, avvenuto il 5 agosto 1969: qui non vi e nemmeno contemporaneita,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e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e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cio che del testo viene espresso, perche la carica seleziona le parti utilizzabili e silenzia le altre. La lente chiama epigenetica questa modulazione, e la sua utilita sta tutta nel divieto che ne discende — non si legge l'accademico attraverso il ministro, ne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Comunita europea nella firma sfidando l'insofferenza di Kissinger: la fonte e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perche vi si conservano le varianti che un giorno vengono espresse; ma trattare tutto cio che un autore ha scritto come se fosse operante e l'errore opposto e piu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resto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cio che si diffonde si diffonde perche serve: una formula puo moltiplicarsi per moda accademica, per prestigio dell'editore, per fortuna di una traduzione tempestiva. La deriva spiega diffusioni ampie senza alcuna pressione selettiva, e va tenuta fra le ipotesi ogni volta che si e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e una pressione selettiva reale e documentabile, perche nei verbali si vede quale lessico entra negli atti operativi e quale resta nei libri. Studiarla e compito storiografico legittimo; dedurne che chi conio la formula abbia voluto l'atto che la impiego non lo e.</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cio che hanno appreso, e alcuni applicano l'opposto: il carattere ereditato puo non esprimersi affatto. Ne discende il divieto pratico piu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e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e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E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e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e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1.000 volte con tutto ciò che il corpus contiene, in 1.000 blocchi mirati ordinati in tredici serie con statuto: il nome e la mutazione (1-60); il genoma dichiarato (61-135); l'ereditarietà dottrinale (136-205); la trascrizione (206-290); l'espressione differenziale (291-390); omologia e analogia (391-485); il vettore e la trasmissione orizzontale (486-560); la mutazione, l'errore di trascrizione, il falso (561-630); il DNA non codificante (631-715); fenotipo e genotipo (716-785); l'epigenetica (786-850); la filogenesi del caso Moro (851-940); il limite della metafora (941-1000). Costruita sulla chiave interpretativa dichiarata dal committente — «Kissinger rappresenta metaforicamente la genetica» — </w:t>
      </w:r>
      <w:r>
        <w:rPr>
          <w:rFonts w:ascii="Barlow Semi Condensed" w:cs="Barlow Semi Condensed" w:eastAsia="Barlow Semi Condensed" w:hAnsi="Barlow Semi Condensed"/>
          <w:i/>
          <w:iCs/>
          <w:sz w:val="24"/>
          <w:szCs w:val="24"/>
        </w:rPr>
        <w:t xml:space="preserve">accolta in apertura come lente e non come sentenza</w:t>
      </w:r>
      <w:r>
        <w:rPr>
          <w:rFonts w:ascii="Barlow Semi Condensed" w:cs="Barlow Semi Condensed" w:eastAsia="Barlow Semi Condensed" w:hAnsi="Barlow Semi Condensed"/>
          <w:i/>
          <w:iCs/>
          <w:sz w:val="24"/>
          <w:szCs w:val="24"/>
        </w:rPr>
        <w:t xml:space="preserve">, e fermata dalla tredicesima serie nel punto esatto in cui la metafora spingerebbe verso la colpa ereditaria. Vale in ogni blocco la regola dei tre piani: rapporto diretto documentato, convergenza strutturale, affermazione terziaria — un ponte è reale solo al piano 1. Henry Kissinger non fu condannato in alcun processo, non fu mai imputato né processato in alcun Paese, e nessun blocco di quest'opera lo indica come responsabile di reato; il presunto avvertimento del settembre 1974 vi è registrato come testimonianza contestata, con la smentita dell'interessato annotata e con l'accertamento — nuovo per il corpus — che il verbale dello Studio Ovale non la contiene. Nessun fatto è affermato oltre la sua fonte; le divergenze si riportano e non si scelgono in silenzio; l'esito negativo si scrive con la sede d'archivio che lo chiuderebbe. In biologia il carattere si eredita; in storia la responsabilità no. Un'indagine produce atti, non colpevoli — mille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283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283 indirizzi citati (416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283 indirizzi distinti per 416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 — Feltrinelli, il vettore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quarto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quarto · III — Il nodo Hyperion</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quarto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quarto · V — Il ceppo Simioni</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quinto · I — Il Tribunale Speciale</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quinto · II — Gli otto sottonodi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quinto · III — Gli amnistiati</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sesto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settimo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Il registro giudiziario</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nono — Il repertorio del caso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decimo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decimo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undicesimo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undicesimo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dodicesimo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Treccani, la mediazione vaticana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dodicesimo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dodicesimo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memoria.cultura.gov.it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Il codice e la sua trasmissione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416 volte 283 indirizzi distinti su 139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(18)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(14)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(6) · </w:t>
      </w:r>
      <w:r>
        <w:rPr>
          <w:rFonts w:ascii="Barlow Semi Condensed" w:cs="Barlow Semi Condensed" w:eastAsia="Barlow Semi Condensed" w:hAnsi="Barlow Semi Condensed"/>
          <w:i/>
          <w:iCs/>
          <w:sz w:val="24"/>
          <w:szCs w:val="24"/>
        </w:rPr>
        <w:t xml:space="preserve">ansa.it</w:t>
      </w:r>
      <w:r>
        <w:rPr>
          <w:rFonts w:ascii="Barlow Semi Condensed" w:cs="Barlow Semi Condensed" w:eastAsia="Barlow Semi Condensed" w:hAnsi="Barlow Semi Condensed"/>
          <w:sz w:val="24"/>
          <w:szCs w:val="24"/>
        </w:rPr>
        <w:t xml:space="preserve"> (5) · </w:t>
      </w:r>
      <w:r>
        <w:rPr>
          <w:rFonts w:ascii="Barlow Semi Condensed" w:cs="Barlow Semi Condensed" w:eastAsia="Barlow Semi Condensed" w:hAnsi="Barlow Semi Condensed"/>
          <w:i/>
          <w:iCs/>
          <w:sz w:val="24"/>
          <w:szCs w:val="24"/>
        </w:rPr>
        <w:t xml:space="preserve">marxists.org</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documenti.camera.it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ilfattoquotidiano.it</w:t>
      </w:r>
      <w:r>
        <w:rPr>
          <w:rFonts w:ascii="Barlow Semi Condensed" w:cs="Barlow Semi Condensed" w:eastAsia="Barlow Semi Condensed" w:hAnsi="Barlow Semi Condensed"/>
          <w:sz w:val="24"/>
          <w:szCs w:val="24"/>
        </w:rPr>
        <w:t xml:space="preserve"> (4) · </w:t>
      </w:r>
      <w:r>
        <w:rPr>
          <w:rFonts w:ascii="Barlow Semi Condensed" w:cs="Barlow Semi Condensed" w:eastAsia="Barlow Semi Condensed" w:hAnsi="Barlow Semi Condensed"/>
          <w:i/>
          <w:iCs/>
          <w:sz w:val="24"/>
          <w:szCs w:val="24"/>
        </w:rPr>
        <w:t xml:space="preserve">panorama.it</w:t>
      </w:r>
      <w:r>
        <w:rPr>
          <w:rFonts w:ascii="Barlow Semi Condensed" w:cs="Barlow Semi Condensed" w:eastAsia="Barlow Semi Condensed" w:hAnsi="Barlow Semi Condensed"/>
          <w:sz w:val="24"/>
          <w:szCs w:val="24"/>
        </w:rPr>
        <w:t xml:space="preserve"> (3) · </w:t>
      </w:r>
      <w:r>
        <w:rPr>
          <w:rFonts w:ascii="Barlow Semi Condensed" w:cs="Barlow Semi Condensed" w:eastAsia="Barlow Semi Condensed" w:hAnsi="Barlow Semi Condensed"/>
          <w:i/>
          <w:iCs/>
          <w:sz w:val="24"/>
          <w:szCs w:val="24"/>
        </w:rPr>
        <w:t xml:space="preserve">ilpost.it</w:t>
      </w:r>
      <w:r>
        <w:rPr>
          <w:rFonts w:ascii="Barlow Semi Condensed" w:cs="Barlow Semi Condensed" w:eastAsia="Barlow Semi Condensed" w:hAnsi="Barlow Semi Condensed"/>
          <w:sz w:val="24"/>
          <w:szCs w:val="24"/>
        </w:rPr>
        <w:t xml:space="preserve"> (3).</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283.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d9a70a901e829cf90572a48d64b0bf595c8b3772.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826be1bd18cab2890b10f8e200270870c4d4a256.png"/><Relationship Id="rId25" Type="http://schemas.openxmlformats.org/officeDocument/2006/relationships/image" Target="media/089ab35a56602e4b9f3ad3bb0378fa268816278a.png"/><Relationship Id="rId26" Type="http://schemas.openxmlformats.org/officeDocument/2006/relationships/image" Target="media/1b6e0610148c79eff26df674f1189bac89acd87f.png"/><Relationship Id="rId27" Type="http://schemas.openxmlformats.org/officeDocument/2006/relationships/image" Target="media/0a5aa893b29e8bf12df6f9d0d9b565bf618e33e5.png"/><Relationship Id="rId28" Type="http://schemas.openxmlformats.org/officeDocument/2006/relationships/image" Target="media/0508e878136fe5f596f5d2aae44f163c9e240895.png"/><Relationship Id="rId29" Type="http://schemas.openxmlformats.org/officeDocument/2006/relationships/image" Target="media/d033777ad8fdd1543fc08fb5c8db9ab3b5ea5cdb.png"/><Relationship Id="rId30" Type="http://schemas.openxmlformats.org/officeDocument/2006/relationships/image" Target="media/4b0ea41649d7e695539ed61fc20ee627b50afafb.png"/><Relationship Id="rId31" Type="http://schemas.openxmlformats.org/officeDocument/2006/relationships/image" Target="media/11bc565032b1eef6bad277015a3859625dd324d3.png"/><Relationship Id="rId32" Type="http://schemas.openxmlformats.org/officeDocument/2006/relationships/image" Target="media/2c129cfd5dad79647b8c3d4644a378380d6aa385.png"/><Relationship Id="rId33" Type="http://schemas.openxmlformats.org/officeDocument/2006/relationships/image" Target="media/d592d26814e7569443d4a6794d5262953a8c72c7.png"/><Relationship Id="rId34" Type="http://schemas.openxmlformats.org/officeDocument/2006/relationships/image" Target="media/054a259ff6f5c1813a4d582cf75e60a9a0819e10.png"/><Relationship Id="rId35" Type="http://schemas.openxmlformats.org/officeDocument/2006/relationships/image" Target="media/77142bbbe7aa870d39029956d5834dfba19ea3e9.png"/><Relationship Id="rId36" Type="http://schemas.openxmlformats.org/officeDocument/2006/relationships/image" Target="media/25072781cf612e9947ebb61dc25fece211f97bc7.png"/><Relationship Id="rId37" Type="http://schemas.openxmlformats.org/officeDocument/2006/relationships/image" Target="media/8d996c556e4e91ad5594d24cf66bf8db3149f942.png"/><Relationship Id="rId38" Type="http://schemas.openxmlformats.org/officeDocument/2006/relationships/image" Target="media/3bd90a09aa9e3cbde25229d89725176fed6b819a.png"/><Relationship Id="rId39" Type="http://schemas.openxmlformats.org/officeDocument/2006/relationships/image" Target="media/87f1dfcb4a1198e1e79889f9e7db455bbdc1e68d.png"/><Relationship Id="rId40" Type="http://schemas.openxmlformats.org/officeDocument/2006/relationships/image" Target="media/33833081342a95ae8b08b4ef319be1c09bd3e938.png"/><Relationship Id="rId41" Type="http://schemas.openxmlformats.org/officeDocument/2006/relationships/image" Target="media/7bd1c58a572f6ae31821d28ac1bfe3fda9165936.png"/><Relationship Id="rId42" Type="http://schemas.openxmlformats.org/officeDocument/2006/relationships/image" Target="media/511cad6297c735804f827303822af3119e91cb74.png"/><Relationship Id="rId43" Type="http://schemas.openxmlformats.org/officeDocument/2006/relationships/image" Target="media/9bf164db1c213623a624c44dfc698529f2e151e9.png"/><Relationship Id="rId44" Type="http://schemas.openxmlformats.org/officeDocument/2006/relationships/image" Target="media/2ac0d31280acfb70b277c4e4beb2985cc8f25862.png"/><Relationship Id="rId45" Type="http://schemas.openxmlformats.org/officeDocument/2006/relationships/image" Target="media/9e576fef1b4d7990c7a4d3c3cf5cee9bb7f025be.png"/><Relationship Id="rId46" Type="http://schemas.openxmlformats.org/officeDocument/2006/relationships/image" Target="media/3f4e5ebd772b4d600e8a567721fc66d3bd2bdebd.png"/><Relationship Id="rId47" Type="http://schemas.openxmlformats.org/officeDocument/2006/relationships/image" Target="media/ff29cf85982a64022b281d56a876e27f2ce6ebb6.png"/><Relationship Id="rId48" Type="http://schemas.openxmlformats.org/officeDocument/2006/relationships/image" Target="media/40a93095f72a167de2a1beea7fc6192141882b1c.png"/><Relationship Id="rId49" Type="http://schemas.openxmlformats.org/officeDocument/2006/relationships/image" Target="media/ea9c5246b449c7fbc40be2824ca0e1e6385ed578.png"/><Relationship Id="rId50" Type="http://schemas.openxmlformats.org/officeDocument/2006/relationships/image" Target="media/2f99804acf10a27deada240a3b4c0454abd9dc44.png"/><Relationship Id="rId51" Type="http://schemas.openxmlformats.org/officeDocument/2006/relationships/image" Target="media/28cff32fd817ab5c81b0a3e7ceeb94f0a4775761.png"/><Relationship Id="rId52" Type="http://schemas.openxmlformats.org/officeDocument/2006/relationships/image" Target="media/42c55c2463251f69ed89abef20b02d668034eb0d.png"/><Relationship Id="rId53" Type="http://schemas.openxmlformats.org/officeDocument/2006/relationships/image" Target="media/9218f42d8f7ec017eaa8ac9614cf5d65a57cdbeb.png"/><Relationship Id="rId54" Type="http://schemas.openxmlformats.org/officeDocument/2006/relationships/image" Target="media/df56f7707758577c8e1b50d2f478f687de52458d.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7c85ad3280acf7921afbb1ba10ad28ab9d987a06.png"/><Relationship Id="rId58" Type="http://schemas.openxmlformats.org/officeDocument/2006/relationships/image" Target="media/4dddaf8fba33acd853d8ed791a05dd829226a8c1.png"/><Relationship Id="rId59" Type="http://schemas.openxmlformats.org/officeDocument/2006/relationships/image" Target="media/49c4309c730510cf3846f4c9ef3a4db3df1c0d54.png"/><Relationship Id="rId60" Type="http://schemas.openxmlformats.org/officeDocument/2006/relationships/image" Target="media/af9521eeb78ddbea4aeff369ae28a62672ae5031.png"/><Relationship Id="rId61" Type="http://schemas.openxmlformats.org/officeDocument/2006/relationships/image" Target="media/73d8a9098c7ad5935d6e45e47409cd32defa24af.png"/><Relationship Id="rId62" Type="http://schemas.openxmlformats.org/officeDocument/2006/relationships/image" Target="media/11bfa29d2d91ebc7dc5ba475a4d4473b613af3bb.png"/><Relationship Id="rId63" Type="http://schemas.openxmlformats.org/officeDocument/2006/relationships/image" Target="media/ddb8061fcef6006577e68fba3d2e4594d9cb4c6b.png"/><Relationship Id="rId64" Type="http://schemas.openxmlformats.org/officeDocument/2006/relationships/image" Target="media/a3cadeed27781663054899093f2bef56664b1afc.png"/><Relationship Id="rId65" Type="http://schemas.openxmlformats.org/officeDocument/2006/relationships/image" Target="media/095f76eea8c4f0c75033f06e62e66924ffceb87a.png"/><Relationship Id="rId66" Type="http://schemas.openxmlformats.org/officeDocument/2006/relationships/image" Target="media/cd83ed000ecd5e578c1fc138e2f1cb53962af602.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ad8221d677439df6a319fe037b59f749b4fd9d56.png"/><Relationship Id="rId70" Type="http://schemas.openxmlformats.org/officeDocument/2006/relationships/image" Target="media/1232695fe5daa326bd38e8041da43dbbd77c4e00.png"/><Relationship Id="rId71" Type="http://schemas.openxmlformats.org/officeDocument/2006/relationships/image" Target="media/6f434d4827af8c73def5b5c3e3a58ab1a94d0e83.png"/><Relationship Id="rId72" Type="http://schemas.openxmlformats.org/officeDocument/2006/relationships/image" Target="media/127a2f4f8a68a9542708384a76851198cef27452.png"/><Relationship Id="rId73" Type="http://schemas.openxmlformats.org/officeDocument/2006/relationships/image" Target="media/7a48f258e3be3c45eb539c8400f5ccdc746d94e5.png"/><Relationship Id="rId74" Type="http://schemas.openxmlformats.org/officeDocument/2006/relationships/image" Target="media/83ed5e54a3d5c5467819acd51b38b685229effdb.png"/><Relationship Id="rId75" Type="http://schemas.openxmlformats.org/officeDocument/2006/relationships/image" Target="media/afa627ca51ff28002fe1e6e814c5e71e3d769248.png"/><Relationship Id="rId76" Type="http://schemas.openxmlformats.org/officeDocument/2006/relationships/image" Target="media/81add94514e30861d55239f6aeb7dfece985cdd2.png"/><Relationship Id="rId77" Type="http://schemas.openxmlformats.org/officeDocument/2006/relationships/image" Target="media/ba960d0d47b173a426410fdce4bce887f5998b6c.png"/><Relationship Id="rId78" Type="http://schemas.openxmlformats.org/officeDocument/2006/relationships/image" Target="media/6418bc08e06d7985999ae50e80654d7e83f4808b.png"/><Relationship Id="rId79" Type="http://schemas.openxmlformats.org/officeDocument/2006/relationships/image" Target="media/b1ea1e2e153bdba739b0b1854774423cfdaed93b.png"/><Relationship Id="rId80" Type="http://schemas.openxmlformats.org/officeDocument/2006/relationships/image" Target="media/7c364d446bc7986f9ce2afd6f8055352f69be161.png"/><Relationship Id="rId81" Type="http://schemas.openxmlformats.org/officeDocument/2006/relationships/image" Target="media/3ed14940641c689760d7242ed0f86692d90bc7f5.png"/><Relationship Id="rId82" Type="http://schemas.openxmlformats.org/officeDocument/2006/relationships/image" Target="media/16b1d116b720767c75a714e61ceee68bff085091.png"/><Relationship Id="rId83" Type="http://schemas.openxmlformats.org/officeDocument/2006/relationships/image" Target="media/642339588e2b10abb4579a4862785775597a228f.png"/><Relationship Id="rId84" Type="http://schemas.openxmlformats.org/officeDocument/2006/relationships/image" Target="media/826e5575e591bb823b32418e594f30b19fdc01af.png"/><Relationship Id="rId85" Type="http://schemas.openxmlformats.org/officeDocument/2006/relationships/image" Target="media/361874ec978b6cc228ac9a7717fad854c1abdd9e.png"/><Relationship Id="rId86" Type="http://schemas.openxmlformats.org/officeDocument/2006/relationships/image" Target="media/373f4b90be0e6cea3a14f2dab05195a01ea2ebce.png"/><Relationship Id="rId87" Type="http://schemas.openxmlformats.org/officeDocument/2006/relationships/image" Target="media/532ce251425aea7dacf4e6aab54874f2689bbb0c.png"/><Relationship Id="rId88" Type="http://schemas.openxmlformats.org/officeDocument/2006/relationships/image" Target="media/fe205c349fa7978b51d15e5920d32141cd3e3a94.png"/><Relationship Id="rId89" Type="http://schemas.openxmlformats.org/officeDocument/2006/relationships/image" Target="media/54ef9e878bddb324d8d998341ba04a6370f2962d.png"/><Relationship Id="rId90" Type="http://schemas.openxmlformats.org/officeDocument/2006/relationships/image" Target="media/2fa2495360cca7c21ef5176238865016e026ea2c.png"/><Relationship Id="rId91" Type="http://schemas.openxmlformats.org/officeDocument/2006/relationships/image" Target="media/5b8884c7045a561498cfc13d3dc285b079a0c6f9.png"/><Relationship Id="rId9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2026-08-25T22:28:54.352Z</dcterms:created>
  <dcterms:modified xsi:type="dcterms:W3CDTF">2026-08-25T22:28:54.352Z</dcterms:modified>
</cp:coreProperties>
</file>

<file path=docProps/custom.xml><?xml version="1.0" encoding="utf-8"?>
<Properties xmlns="http://schemas.openxmlformats.org/officeDocument/2006/custom-properties" xmlns:vt="http://schemas.openxmlformats.org/officeDocument/2006/docPropsVTypes"/>
</file>