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Times New Roman" w:cs="Times New Roman" w:eastAsia="Times New Roman" w:hAnsi="Times New Roman"/>
          <w:b/>
          <w:bCs/>
          <w:color w:val="1F3864"/>
          <w:sz w:val="32"/>
          <w:szCs w:val="32"/>
        </w:rPr>
        <w:t xml:space="preserve">Indice</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sz w:val="24"/>
          <w:szCs w:val="24"/>
        </w:rPr>
        <w:t xml:space="preserve">Aldo Moro — Una guerra senza fine</w:t>
      </w:r>
    </w:p>
    <w:p>
      <w:pPr>
        <w:pStyle w:val="Heading2"/>
        <w:spacing w:after="100" w:before="200"/>
      </w:pPr>
      <w:r>
        <w:rPr>
          <w:rFonts w:ascii="Times New Roman" w:cs="Times New Roman" w:eastAsia="Times New Roman" w:hAnsi="Times New Roman"/>
          <w:sz w:val="24"/>
          <w:szCs w:val="24"/>
        </w:rPr>
        <w:t xml:space="preserve">Le tre continuazioni</w:t>
      </w:r>
    </w:p>
    <w:p>
      <w:pPr>
        <w:spacing w:after="120" w:line="276"/>
        <w:jc w:val="both"/>
      </w:pPr>
      <w:r>
        <w:rPr>
          <w:rFonts w:ascii="Times New Roman" w:cs="Times New Roman" w:eastAsia="Times New Roman" w:hAnsi="Times New Roman"/>
          <w:i/>
          <w:iCs/>
          <w:sz w:val="24"/>
          <w:szCs w:val="24"/>
        </w:rPr>
        <w:t xml:space="preserve">Il ritorno del Pollo di Popper · Il presidio del garante · L'apparato dei gradi</w:t>
      </w:r>
    </w:p>
    <w:p>
      <w:pPr>
        <w:spacing w:after="120" w:line="276"/>
        <w:jc w:val="both"/>
      </w:pPr>
      <w:r>
        <w:rPr>
          <w:rFonts w:ascii="Times New Roman" w:cs="Times New Roman" w:eastAsia="Times New Roman" w:hAnsi="Times New Roman"/>
          <w:sz w:val="24"/>
          <w:szCs w:val="24"/>
        </w:rPr>
        <w:t xml:space="preserve">Continuazioni originali dell'opera «Aldo Moro — Una guerra senza fine», prodotte in sessione il 24 agosto 2026. Non riproducono il testo dell'opera; ne proseguono il discorso entro il registro documentale. Nessuna persona è indicata come responsabile di reato oltre il giudicato definitivo; le affermazioni presentate come fatti sono di Livello A, il resto è dichiarato probabile, possibile o Stato Zero.</w:t>
      </w:r>
    </w:p>
    <w:p>
      <w:pPr>
        <w:spacing w:after="120" w:line="276"/>
        <w:jc w:val="both"/>
      </w:pPr>
      <w:r>
        <w:rPr>
          <w:rFonts w:ascii="Times New Roman" w:cs="Times New Roman" w:eastAsia="Times New Roman" w:hAnsi="Times New Roman"/>
          <w:i/>
          <w:iCs/>
          <w:sz w:val="24"/>
          <w:szCs w:val="24"/>
        </w:rPr>
        <w:t xml:space="preserve">Ordinamento metodologico: Metodologia Normaviva Gamma. Topografia: Iceberg Structure V2. Standard tipografico: Times New Roman 12, A4, giustificato.</w:t>
      </w:r>
    </w:p>
    <w:p>
      <w:r>
        <w:br w:type="page"/>
      </w:r>
    </w:p>
    <w:p>
      <w:pPr>
        <w:pStyle w:val="Heading1"/>
        <w:spacing w:after="120" w:before="240"/>
      </w:pPr>
      <w:r>
        <w:rPr>
          <w:rFonts w:ascii="Times New Roman" w:cs="Times New Roman" w:eastAsia="Times New Roman" w:hAnsi="Times New Roman"/>
          <w:sz w:val="24"/>
          <w:szCs w:val="24"/>
        </w:rPr>
        <w:t xml:space="preserve">Aldo Moro — Una guerra senza fine</w:t>
      </w:r>
    </w:p>
    <w:p>
      <w:pPr>
        <w:pStyle w:val="Heading2"/>
        <w:spacing w:after="100" w:before="200"/>
      </w:pPr>
      <w:r>
        <w:rPr>
          <w:rFonts w:ascii="Times New Roman" w:cs="Times New Roman" w:eastAsia="Times New Roman" w:hAnsi="Times New Roman"/>
          <w:sz w:val="24"/>
          <w:szCs w:val="24"/>
        </w:rPr>
        <w:t xml:space="preserve">Parte terza — Il ritorno del Pollo di Popper</w:t>
      </w:r>
    </w:p>
    <w:p>
      <w:pPr>
        <w:spacing w:after="120" w:line="276"/>
        <w:jc w:val="both"/>
      </w:pPr>
      <w:r>
        <w:rPr>
          <w:rFonts w:ascii="Times New Roman" w:cs="Times New Roman" w:eastAsia="Times New Roman" w:hAnsi="Times New Roman"/>
          <w:i/>
          <w:iCs/>
          <w:sz w:val="24"/>
          <w:szCs w:val="24"/>
        </w:rPr>
        <w:t xml:space="preserve">Continuazione d'autore — 24 agosto 2026</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Avvertenza e statuto di questa parte.</w:t>
      </w:r>
      <w:r>
        <w:rPr>
          <w:rFonts w:ascii="Times New Roman" w:cs="Times New Roman" w:eastAsia="Times New Roman" w:hAnsi="Times New Roman"/>
          <w:i w:val="false"/>
          <w:iCs w:val="false"/>
          <w:sz w:val="24"/>
          <w:szCs w:val="24"/>
        </w:rPr>
        <w:t xml:space="preserve"> Questa è una </w:t>
      </w:r>
      <w:r>
        <w:rPr>
          <w:rFonts w:ascii="Times New Roman" w:cs="Times New Roman" w:eastAsia="Times New Roman" w:hAnsi="Times New Roman"/>
          <w:b/>
          <w:bCs/>
          <w:i w:val="false"/>
          <w:iCs w:val="false"/>
          <w:sz w:val="24"/>
          <w:szCs w:val="24"/>
        </w:rPr>
        <w:t xml:space="preserve">continuazione originale</w:t>
      </w:r>
      <w:r>
        <w:rPr>
          <w:rFonts w:ascii="Times New Roman" w:cs="Times New Roman" w:eastAsia="Times New Roman" w:hAnsi="Times New Roman"/>
          <w:i w:val="false"/>
          <w:iCs w:val="false"/>
          <w:sz w:val="24"/>
          <w:szCs w:val="24"/>
        </w:rPr>
        <w:t xml:space="preserve"> dell'opera «Aldo Moro — Una guerra senza fine», scritta prendendo spunto dal testo che la precede. Non ne riproduce il contenuto; ne prosegue il discorso.  Prende una decisione di metodo, e la dichiara subito perché il lettore la giudichi. L'opera, nella sua parte seconda, aveva per scelta esplicita </w:t>
      </w:r>
      <w:r>
        <w:rPr>
          <w:rFonts w:ascii="Times New Roman" w:cs="Times New Roman" w:eastAsia="Times New Roman" w:hAnsi="Times New Roman"/>
          <w:i w:val="false"/>
          <w:iCs w:val="false"/>
          <w:sz w:val="24"/>
          <w:szCs w:val="24"/>
        </w:rPr>
        <w:t xml:space="preserve">congedato il Pollo di Popper</w:t>
      </w:r>
      <w:r>
        <w:rPr>
          <w:rFonts w:ascii="Times New Roman" w:cs="Times New Roman" w:eastAsia="Times New Roman" w:hAnsi="Times New Roman"/>
          <w:i w:val="false"/>
          <w:iCs w:val="false"/>
          <w:sz w:val="24"/>
          <w:szCs w:val="24"/>
        </w:rPr>
        <w:t xml:space="preserve"> — cioè sospeso la disciplina falsificazionista — per passare dalla sospensione del giudizio alla probabilità, e nominare architetti, mandanti ed esecutori del delitto in forma di graduatoria. Questa terza parte compie il movimento inverso: </w:t>
      </w:r>
      <w:r>
        <w:rPr>
          <w:rFonts w:ascii="Times New Roman" w:cs="Times New Roman" w:eastAsia="Times New Roman" w:hAnsi="Times New Roman"/>
          <w:b/>
          <w:bCs/>
          <w:i w:val="false"/>
          <w:iCs w:val="false"/>
          <w:sz w:val="24"/>
          <w:szCs w:val="24"/>
        </w:rPr>
        <w:t xml:space="preserve">richiama in servizio il Pollo di Popper</w:t>
      </w:r>
      <w:r>
        <w:rPr>
          <w:rFonts w:ascii="Times New Roman" w:cs="Times New Roman" w:eastAsia="Times New Roman" w:hAnsi="Times New Roman"/>
          <w:i w:val="false"/>
          <w:iCs w:val="false"/>
          <w:sz w:val="24"/>
          <w:szCs w:val="24"/>
        </w:rPr>
        <w:t xml:space="preserve"> e lo tiene fino all'ultima riga. Non aggiunge nomi alla graduatoria, non ne sposta le posizioni, non ne conferma né ne aggrava alcuna: fa la cosa più ingrata e più necessaria, che è ricondurre l'intera vicenda alla distinzione fra ciò che è </w:t>
      </w:r>
      <w:r>
        <w:rPr>
          <w:rFonts w:ascii="Times New Roman" w:cs="Times New Roman" w:eastAsia="Times New Roman" w:hAnsi="Times New Roman"/>
          <w:b/>
          <w:bCs/>
          <w:i w:val="false"/>
          <w:iCs w:val="false"/>
          <w:sz w:val="24"/>
          <w:szCs w:val="24"/>
        </w:rPr>
        <w:t xml:space="preserve">accertato</w:t>
      </w:r>
      <w:r>
        <w:rPr>
          <w:rFonts w:ascii="Times New Roman" w:cs="Times New Roman" w:eastAsia="Times New Roman" w:hAnsi="Times New Roman"/>
          <w:i w:val="false"/>
          <w:iCs w:val="false"/>
          <w:sz w:val="24"/>
          <w:szCs w:val="24"/>
        </w:rPr>
        <w:t xml:space="preserve">, ciò che è </w:t>
      </w:r>
      <w:r>
        <w:rPr>
          <w:rFonts w:ascii="Times New Roman" w:cs="Times New Roman" w:eastAsia="Times New Roman" w:hAnsi="Times New Roman"/>
          <w:b/>
          <w:bCs/>
          <w:i w:val="false"/>
          <w:iCs w:val="false"/>
          <w:sz w:val="24"/>
          <w:szCs w:val="24"/>
        </w:rPr>
        <w:t xml:space="preserve">probabile</w:t>
      </w:r>
      <w:r>
        <w:rPr>
          <w:rFonts w:ascii="Times New Roman" w:cs="Times New Roman" w:eastAsia="Times New Roman" w:hAnsi="Times New Roman"/>
          <w:i w:val="false"/>
          <w:iCs w:val="false"/>
          <w:sz w:val="24"/>
          <w:szCs w:val="24"/>
        </w:rPr>
        <w:t xml:space="preserve"> e ciò che è </w:t>
      </w:r>
      <w:r>
        <w:rPr>
          <w:rFonts w:ascii="Times New Roman" w:cs="Times New Roman" w:eastAsia="Times New Roman" w:hAnsi="Times New Roman"/>
          <w:b/>
          <w:bCs/>
          <w:i w:val="false"/>
          <w:iCs w:val="false"/>
          <w:sz w:val="24"/>
          <w:szCs w:val="24"/>
        </w:rPr>
        <w:t xml:space="preserve">soltanto possibile</w:t>
      </w:r>
      <w:r>
        <w:rPr>
          <w:rFonts w:ascii="Times New Roman" w:cs="Times New Roman" w:eastAsia="Times New Roman" w:hAnsi="Times New Roman"/>
          <w:i w:val="false"/>
          <w:iCs w:val="false"/>
          <w:sz w:val="24"/>
          <w:szCs w:val="24"/>
        </w:rPr>
        <w:t xml:space="preserve"> — e lasciare che sia ciascuna cosa al suo posto.  La ragione non è timidezza. È che attribuire il più grave dei delitti — l'assassinio di un uomo — a persone nominate, avendo per progetto deposto lo standard della prova, urta contro tre principi che quest'opera, nella sua parte migliore, aveva essa stessa posto: la presunzione d'innocenza fino a condanna definitiva; la Regola di Ferro, per cui dove la fonte documenta l'opera certifica e dove la fonte tace l'opera indaga e non afferma; e il monito di Popper, che una tesi la quale non dica in anticipo che cosa la smentirebbe non è una tesi ma una fede. Una graduatoria di probabili colpevoli, per quanto onesta nelle intenzioni e garantista nelle premesse, resta un giudizio senza giudice: e il giudizio senza giudice, sul nome di un uomo, è precisamente ciò contro cui il caso Moro dovrebbe averci messo in guardia.  Perciò questa parte non parla di persone come colpevoli. Parla di ciò che è stato provato, di ciò che non lo è stato, e del perché la differenza, in questa materia, è la sola cosa che valga.</w:t>
      </w:r>
    </w:p>
    <w:p>
      <w:pPr>
        <w:pBdr>
          <w:bottom w:val="single" w:color="999999" w:sz="6" w:space="1"/>
        </w:pBdr>
        <w:spacing w:after="80"/>
      </w:pPr>
    </w:p>
    <w:p>
      <w:pPr>
        <w:pStyle w:val="Heading1"/>
        <w:spacing w:after="120" w:before="240"/>
      </w:pPr>
      <w:r>
        <w:rPr>
          <w:rFonts w:ascii="Times New Roman" w:cs="Times New Roman" w:eastAsia="Times New Roman" w:hAnsi="Times New Roman"/>
          <w:sz w:val="24"/>
          <w:szCs w:val="24"/>
        </w:rPr>
        <w:t xml:space="preserve">Movimento primo — La disciplina</w:t>
      </w:r>
    </w:p>
    <w:p>
      <w:pPr>
        <w:pStyle w:val="Heading2"/>
        <w:spacing w:after="100" w:before="200"/>
      </w:pPr>
      <w:r>
        <w:rPr>
          <w:rFonts w:ascii="Times New Roman" w:cs="Times New Roman" w:eastAsia="Times New Roman" w:hAnsi="Times New Roman"/>
          <w:sz w:val="24"/>
          <w:szCs w:val="24"/>
        </w:rPr>
        <w:t xml:space="preserve">I. Perché il Pollo di Popper non va congedato proprio qui</w:t>
      </w:r>
    </w:p>
    <w:p>
      <w:pPr>
        <w:spacing w:after="120" w:line="276"/>
        <w:jc w:val="both"/>
      </w:pPr>
      <w:r>
        <w:rPr>
          <w:rFonts w:ascii="Times New Roman" w:cs="Times New Roman" w:eastAsia="Times New Roman" w:hAnsi="Times New Roman"/>
          <w:sz w:val="24"/>
          <w:szCs w:val="24"/>
        </w:rPr>
        <w:t xml:space="preserve">C'è un paradosso nel congedare la falsificazione nel momento stesso in cui si passa a nominare i responsabili. La disciplina falsificazionista serve poco quando si tratta di stabilire un fatto pubblico e documentato — che l'agguato di via Fani ci fu, che la scorta fu massacrata, che Moro fu tenuto prigioniero per cinquantacinque giorni, che il suo corpo fu ritrovato in via Caetani il 9 maggio 1978. Su questi fatti non c'è ricerca da fare: c'è memoria da onorare. La falsificazione diventa invece indispensabile </w:t>
      </w:r>
      <w:r>
        <w:rPr>
          <w:rFonts w:ascii="Times New Roman" w:cs="Times New Roman" w:eastAsia="Times New Roman" w:hAnsi="Times New Roman"/>
          <w:b/>
          <w:bCs/>
          <w:sz w:val="24"/>
          <w:szCs w:val="24"/>
        </w:rPr>
        <w:t xml:space="preserve">esattamente là dove si passa dai fatti ai responsabili occulti</w:t>
      </w:r>
      <w:r>
        <w:rPr>
          <w:rFonts w:ascii="Times New Roman" w:cs="Times New Roman" w:eastAsia="Times New Roman" w:hAnsi="Times New Roman"/>
          <w:sz w:val="24"/>
          <w:szCs w:val="24"/>
        </w:rPr>
        <w:t xml:space="preserve">, dai gesti accertati alle regie presunte — perché è lì che l'ipotesi, non più trattenuta dalla prova, tende a chiudersi su se stessa e a trovare ovunque conferme.</w:t>
      </w:r>
    </w:p>
    <w:p>
      <w:pPr>
        <w:spacing w:after="120" w:line="276"/>
        <w:jc w:val="both"/>
      </w:pPr>
      <w:r>
        <w:rPr>
          <w:rFonts w:ascii="Times New Roman" w:cs="Times New Roman" w:eastAsia="Times New Roman" w:hAnsi="Times New Roman"/>
          <w:sz w:val="24"/>
          <w:szCs w:val="24"/>
        </w:rPr>
        <w:t xml:space="preserve">È la lezione del pollo induttivista di Bertrand Russell, che l'opera cita nella sua parte prima: il pollo nutrito ogni mattina inferisce, per accumulo di conferme, la legge benevola del contadino — fino al giorno in cui il contadino, anziché nutrirlo, gli tira il collo. Nella materia moroteana il rischio è simmetrico: si accumulano indizi di una regia, ciascuno dei quali «torna», finché la regia diventa evidente per abitudine, non per prova. Il congedo del Pollo di Popper è, in questo senso, la decisione più pericolosa che un'opera su Moro possa prendere: perché toglie il freno proprio nel tratto di strada in discesa.</w:t>
      </w:r>
    </w:p>
    <w:p>
      <w:pPr>
        <w:pStyle w:val="Heading2"/>
        <w:spacing w:after="100" w:before="200"/>
      </w:pPr>
      <w:r>
        <w:rPr>
          <w:rFonts w:ascii="Times New Roman" w:cs="Times New Roman" w:eastAsia="Times New Roman" w:hAnsi="Times New Roman"/>
          <w:sz w:val="24"/>
          <w:szCs w:val="24"/>
        </w:rPr>
        <w:t xml:space="preserve">II. Lo strumento: i tre livelli, e che cosa li fa scattare</w:t>
      </w:r>
    </w:p>
    <w:p>
      <w:pPr>
        <w:spacing w:after="120" w:line="276"/>
        <w:jc w:val="both"/>
      </w:pPr>
      <w:r>
        <w:rPr>
          <w:rFonts w:ascii="Times New Roman" w:cs="Times New Roman" w:eastAsia="Times New Roman" w:hAnsi="Times New Roman"/>
          <w:sz w:val="24"/>
          <w:szCs w:val="24"/>
        </w:rPr>
        <w:t xml:space="preserve">Prima di applicarla, si affili la lama. Ogni proposizione di questa parte porta un grado, e il grado non è un'opinione ma il risultato di una domanda: </w:t>
      </w:r>
      <w:r>
        <w:rPr>
          <w:rFonts w:ascii="Times New Roman" w:cs="Times New Roman" w:eastAsia="Times New Roman" w:hAnsi="Times New Roman"/>
          <w:i/>
          <w:iCs/>
          <w:sz w:val="24"/>
          <w:szCs w:val="24"/>
        </w:rPr>
        <w:t xml:space="preserve">che cosa, di preciso, la smentirebbe?</w:t>
      </w:r>
    </w:p>
    <w:p>
      <w:pPr>
        <w:pStyle w:val="ListParagraph"/>
        <w:numPr>
          <w:ilvl w:val="0"/>
          <w:numId w:val="1"/>
        </w:numPr>
        <w:spacing w:after="40"/>
        <w:jc w:val="both"/>
      </w:pPr>
      <w:r>
        <w:rPr>
          <w:rFonts w:ascii="Times New Roman" w:cs="Times New Roman" w:eastAsia="Times New Roman" w:hAnsi="Times New Roman"/>
          <w:b/>
          <w:bCs/>
          <w:sz w:val="24"/>
          <w:szCs w:val="24"/>
        </w:rPr>
        <w:t xml:space="preserve">Livello A — accertato.</w:t>
      </w:r>
      <w:r>
        <w:rPr>
          <w:rFonts w:ascii="Times New Roman" w:cs="Times New Roman" w:eastAsia="Times New Roman" w:hAnsi="Times New Roman"/>
          <w:sz w:val="24"/>
          <w:szCs w:val="24"/>
        </w:rPr>
        <w:t xml:space="preserve"> La proposizione è sostenuta da fonti primarie convergenti (atti processuali definitivi, documenti autoprodotti dagli attori, relazioni ufficiali concordi) e ciò che la smentirebbe non è stato trovato benché cercato. È lo </w:t>
      </w:r>
      <w:r>
        <w:rPr>
          <w:rFonts w:ascii="Times New Roman" w:cs="Times New Roman" w:eastAsia="Times New Roman" w:hAnsi="Times New Roman"/>
          <w:i/>
          <w:iCs/>
          <w:sz w:val="24"/>
          <w:szCs w:val="24"/>
        </w:rPr>
        <w:t xml:space="preserve">sciolto</w:t>
      </w:r>
      <w:r>
        <w:rPr>
          <w:rFonts w:ascii="Times New Roman" w:cs="Times New Roman" w:eastAsia="Times New Roman" w:hAnsi="Times New Roman"/>
          <w:sz w:val="24"/>
          <w:szCs w:val="24"/>
        </w:rPr>
        <w:t xml:space="preserve"> dell'apparato: l'evidenza che regge all'urto della difesa.</w:t>
      </w:r>
    </w:p>
    <w:p>
      <w:pPr>
        <w:pStyle w:val="ListParagraph"/>
        <w:numPr>
          <w:ilvl w:val="0"/>
          <w:numId w:val="1"/>
        </w:numPr>
        <w:spacing w:after="40"/>
        <w:jc w:val="both"/>
      </w:pPr>
      <w:r>
        <w:rPr>
          <w:rFonts w:ascii="Times New Roman" w:cs="Times New Roman" w:eastAsia="Times New Roman" w:hAnsi="Times New Roman"/>
          <w:b/>
          <w:bCs/>
          <w:sz w:val="24"/>
          <w:szCs w:val="24"/>
        </w:rPr>
        <w:t xml:space="preserve">Livello B — probabile.</w:t>
      </w:r>
      <w:r>
        <w:rPr>
          <w:rFonts w:ascii="Times New Roman" w:cs="Times New Roman" w:eastAsia="Times New Roman" w:hAnsi="Times New Roman"/>
          <w:sz w:val="24"/>
          <w:szCs w:val="24"/>
        </w:rPr>
        <w:t xml:space="preserve"> La proposizione è sostenuta da indizi seri e convergenti ma non da prova piena; esiste, nominabile, ciò che la confermerebbe o la smentirebbe, e non è ancora stato reperito. È il </w:t>
      </w:r>
      <w:r>
        <w:rPr>
          <w:rFonts w:ascii="Times New Roman" w:cs="Times New Roman" w:eastAsia="Times New Roman" w:hAnsi="Times New Roman"/>
          <w:i/>
          <w:iCs/>
          <w:sz w:val="24"/>
          <w:szCs w:val="24"/>
        </w:rPr>
        <w:t xml:space="preserve">dubbio</w:t>
      </w:r>
      <w:r>
        <w:rPr>
          <w:rFonts w:ascii="Times New Roman" w:cs="Times New Roman" w:eastAsia="Times New Roman" w:hAnsi="Times New Roman"/>
          <w:sz w:val="24"/>
          <w:szCs w:val="24"/>
        </w:rPr>
        <w:t xml:space="preserve">: unico e non graduato — non ne esistono nove sfumature, esiste una sola soglia fra il provato e il non provato.</w:t>
      </w:r>
    </w:p>
    <w:p>
      <w:pPr>
        <w:pStyle w:val="ListParagraph"/>
        <w:numPr>
          <w:ilvl w:val="0"/>
          <w:numId w:val="1"/>
        </w:numPr>
        <w:spacing w:after="40"/>
        <w:jc w:val="both"/>
      </w:pPr>
      <w:r>
        <w:rPr>
          <w:rFonts w:ascii="Times New Roman" w:cs="Times New Roman" w:eastAsia="Times New Roman" w:hAnsi="Times New Roman"/>
          <w:b/>
          <w:bCs/>
          <w:sz w:val="24"/>
          <w:szCs w:val="24"/>
        </w:rPr>
        <w:t xml:space="preserve">Livello C — possibile.</w:t>
      </w:r>
      <w:r>
        <w:rPr>
          <w:rFonts w:ascii="Times New Roman" w:cs="Times New Roman" w:eastAsia="Times New Roman" w:hAnsi="Times New Roman"/>
          <w:sz w:val="24"/>
          <w:szCs w:val="24"/>
        </w:rPr>
        <w:t xml:space="preserve"> La proposizione è compatibile con i fatti noti ma non è sostenuta da prova propria; poggia su verosimiglianza, su testimonianza isolata o contestata, o su inferenza di contesto. Resta possibile finché un documento non la promuova o non la dissolva.</w:t>
      </w:r>
    </w:p>
    <w:p>
      <w:pPr>
        <w:spacing w:after="120" w:line="276"/>
        <w:jc w:val="both"/>
      </w:pPr>
      <w:r>
        <w:rPr>
          <w:rFonts w:ascii="Times New Roman" w:cs="Times New Roman" w:eastAsia="Times New Roman" w:hAnsi="Times New Roman"/>
          <w:sz w:val="24"/>
          <w:szCs w:val="24"/>
        </w:rPr>
        <w:t xml:space="preserve">La regola che governa tutto ciò che segue è una sola, e la si enuncia perché il lettore possa sorvegliare chi scrive: </w:t>
      </w:r>
      <w:r>
        <w:rPr>
          <w:rFonts w:ascii="Times New Roman" w:cs="Times New Roman" w:eastAsia="Times New Roman" w:hAnsi="Times New Roman"/>
          <w:b/>
          <w:bCs/>
          <w:sz w:val="24"/>
          <w:szCs w:val="24"/>
        </w:rPr>
        <w:t xml:space="preserve">nessuna proposizione cambia livello per accumulo.</w:t>
      </w:r>
      <w:r>
        <w:rPr>
          <w:rFonts w:ascii="Times New Roman" w:cs="Times New Roman" w:eastAsia="Times New Roman" w:hAnsi="Times New Roman"/>
          <w:sz w:val="24"/>
          <w:szCs w:val="24"/>
        </w:rPr>
        <w:t xml:space="preserve"> Dieci indizi di Livello C non fanno un Livello B; cento verosimiglianze non fanno una prova. Il salto di livello lo produce un documento, non una somma.</w:t>
      </w:r>
    </w:p>
    <w:p>
      <w:pPr>
        <w:pBdr>
          <w:bottom w:val="single" w:color="999999" w:sz="6" w:space="1"/>
        </w:pBdr>
        <w:spacing w:after="80"/>
      </w:pPr>
    </w:p>
    <w:p>
      <w:pPr>
        <w:pStyle w:val="Heading1"/>
        <w:spacing w:after="120" w:before="240"/>
      </w:pPr>
      <w:r>
        <w:rPr>
          <w:rFonts w:ascii="Times New Roman" w:cs="Times New Roman" w:eastAsia="Times New Roman" w:hAnsi="Times New Roman"/>
          <w:sz w:val="24"/>
          <w:szCs w:val="24"/>
        </w:rPr>
        <w:t xml:space="preserve">Movimento secondo — Il dossier delle questioni aperte</w:t>
      </w:r>
    </w:p>
    <w:p>
      <w:pPr>
        <w:spacing w:after="120" w:line="276"/>
        <w:jc w:val="both"/>
      </w:pPr>
      <w:r>
        <w:rPr>
          <w:rFonts w:ascii="Times New Roman" w:cs="Times New Roman" w:eastAsia="Times New Roman" w:hAnsi="Times New Roman"/>
          <w:sz w:val="24"/>
          <w:szCs w:val="24"/>
        </w:rPr>
        <w:t xml:space="preserve">Si applica ora la lama, questione per questione, a ciò che quarant'anni hanno lasciato in eredità. Per ciascuna si dice: che cosa è accertato, che cosa resta probabile o possibile, e — la domanda del Pollo di Popper — </w:t>
      </w:r>
      <w:r>
        <w:rPr>
          <w:rFonts w:ascii="Times New Roman" w:cs="Times New Roman" w:eastAsia="Times New Roman" w:hAnsi="Times New Roman"/>
          <w:i/>
          <w:iCs/>
          <w:sz w:val="24"/>
          <w:szCs w:val="24"/>
        </w:rPr>
        <w:t xml:space="preserve">che cosa basterebbe a smentire la lettura corrente.</w:t>
      </w:r>
    </w:p>
    <w:p>
      <w:pPr>
        <w:pStyle w:val="Heading2"/>
        <w:spacing w:after="100" w:before="200"/>
      </w:pPr>
      <w:r>
        <w:rPr>
          <w:rFonts w:ascii="Times New Roman" w:cs="Times New Roman" w:eastAsia="Times New Roman" w:hAnsi="Times New Roman"/>
          <w:sz w:val="24"/>
          <w:szCs w:val="24"/>
        </w:rPr>
        <w:t xml:space="preserve">III. Via Fani: la dinamica dell'agguato</w:t>
      </w:r>
    </w:p>
    <w:p>
      <w:pPr>
        <w:spacing w:after="120" w:line="276"/>
        <w:jc w:val="both"/>
      </w:pPr>
      <w:r>
        <w:rPr>
          <w:rFonts w:ascii="Times New Roman" w:cs="Times New Roman" w:eastAsia="Times New Roman" w:hAnsi="Times New Roman"/>
          <w:b/>
          <w:bCs/>
          <w:sz w:val="24"/>
          <w:szCs w:val="24"/>
        </w:rPr>
        <w:t xml:space="preserve">Accertato (A).</w:t>
      </w:r>
      <w:r>
        <w:rPr>
          <w:rFonts w:ascii="Times New Roman" w:cs="Times New Roman" w:eastAsia="Times New Roman" w:hAnsi="Times New Roman"/>
          <w:sz w:val="24"/>
          <w:szCs w:val="24"/>
        </w:rPr>
        <w:t xml:space="preserve"> Il 16 marzo 1978, all'incrocio fra via Mario Fani e via Stresa, un commando delle Brigate Rosse assalì l'auto di Moro e l'auto di scorta, uccise i cinque uomini della scorta — Oreste Leonardi, Domenico Ricci, Giulio Rivera, Francesco Zizzi, Raffaele Iozzino — e rapì Aldo Moro. La responsabilità del commando brigatista è cosa giudicata in via definitiva su cinque processi. Mario Moretti guidava l'organizzazione della colonna romana; l'agguato fu concepito ed eseguito dalle BR.</w:t>
      </w:r>
    </w:p>
    <w:p>
      <w:pPr>
        <w:spacing w:after="120" w:line="276"/>
        <w:jc w:val="both"/>
      </w:pPr>
      <w:r>
        <w:rPr>
          <w:rFonts w:ascii="Times New Roman" w:cs="Times New Roman" w:eastAsia="Times New Roman" w:hAnsi="Times New Roman"/>
          <w:b/>
          <w:bCs/>
          <w:sz w:val="24"/>
          <w:szCs w:val="24"/>
        </w:rPr>
        <w:t xml:space="preserve">Le questioni tecniche aperte (B/C).</w:t>
      </w:r>
      <w:r>
        <w:rPr>
          <w:rFonts w:ascii="Times New Roman" w:cs="Times New Roman" w:eastAsia="Times New Roman" w:hAnsi="Times New Roman"/>
          <w:sz w:val="24"/>
          <w:szCs w:val="24"/>
        </w:rPr>
        <w:t xml:space="preserve"> Attorno a questo nucleo accertato la ricerca ha sollevato, per decenni, questioni di dinamica che restano di grado inferiore:</w:t>
      </w:r>
    </w:p>
    <w:p>
      <w:pPr>
        <w:pStyle w:val="ListParagraph"/>
        <w:numPr>
          <w:ilvl w:val="0"/>
          <w:numId w:val="1"/>
        </w:numPr>
        <w:spacing w:after="40"/>
        <w:jc w:val="both"/>
      </w:pPr>
      <w:r>
        <w:rPr>
          <w:rFonts w:ascii="Times New Roman" w:cs="Times New Roman" w:eastAsia="Times New Roman" w:hAnsi="Times New Roman"/>
          <w:sz w:val="24"/>
          <w:szCs w:val="24"/>
        </w:rPr>
        <w:t xml:space="preserve">Il </w:t>
      </w:r>
      <w:r>
        <w:rPr>
          <w:rFonts w:ascii="Times New Roman" w:cs="Times New Roman" w:eastAsia="Times New Roman" w:hAnsi="Times New Roman"/>
          <w:b/>
          <w:bCs/>
          <w:sz w:val="24"/>
          <w:szCs w:val="24"/>
        </w:rPr>
        <w:t xml:space="preserve">numero effettivo degli sparatori</w:t>
      </w:r>
      <w:r>
        <w:rPr>
          <w:rFonts w:ascii="Times New Roman" w:cs="Times New Roman" w:eastAsia="Times New Roman" w:hAnsi="Times New Roman"/>
          <w:sz w:val="24"/>
          <w:szCs w:val="24"/>
        </w:rPr>
        <w:t xml:space="preserve">: le perizie balistiche hanno registrato un elevato numero di colpi in un tempo brevissimo, e si è discusso se il numero di armi e di tiratori dichiarato dai brigatisti reo-confessi basti a spiegare la rosa dei bossoli. È materia </w:t>
      </w:r>
      <w:r>
        <w:rPr>
          <w:rFonts w:ascii="Times New Roman" w:cs="Times New Roman" w:eastAsia="Times New Roman" w:hAnsi="Times New Roman"/>
          <w:b/>
          <w:bCs/>
          <w:sz w:val="24"/>
          <w:szCs w:val="24"/>
        </w:rPr>
        <w:t xml:space="preserve">di Livello B</w:t>
      </w:r>
      <w:r>
        <w:rPr>
          <w:rFonts w:ascii="Times New Roman" w:cs="Times New Roman" w:eastAsia="Times New Roman" w:hAnsi="Times New Roman"/>
          <w:sz w:val="24"/>
          <w:szCs w:val="24"/>
        </w:rPr>
        <w:t xml:space="preserve">: esiste ciò che potrebbe scioglierla — una perizia balistica dirimente sui reperti — e la sua incertezza non intacca l'accertamento della responsabilità, solo la ricostruzione minuta della scena.</w:t>
      </w:r>
    </w:p>
    <w:p>
      <w:pPr>
        <w:pStyle w:val="ListParagraph"/>
        <w:numPr>
          <w:ilvl w:val="0"/>
          <w:numId w:val="1"/>
        </w:numPr>
        <w:spacing w:after="40"/>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moto Honda</w:t>
      </w:r>
      <w:r>
        <w:rPr>
          <w:rFonts w:ascii="Times New Roman" w:cs="Times New Roman" w:eastAsia="Times New Roman" w:hAnsi="Times New Roman"/>
          <w:sz w:val="24"/>
          <w:szCs w:val="24"/>
        </w:rPr>
        <w:t xml:space="preserve">: alcuni testimoni oculari riferirono di una motocicletta di grossa cilindrata presente sulla scena; la sentenza del primo processo ne registrò la presenza e attribuì a due militanti in sella colpi verso l'ingegner Alessandro Marini, mentre le perizie balistiche non confermarono i colpi in quella direzione. La difformità fra testimonianza e perizia è </w:t>
      </w:r>
      <w:r>
        <w:rPr>
          <w:rFonts w:ascii="Times New Roman" w:cs="Times New Roman" w:eastAsia="Times New Roman" w:hAnsi="Times New Roman"/>
          <w:b/>
          <w:bCs/>
          <w:sz w:val="24"/>
          <w:szCs w:val="24"/>
        </w:rPr>
        <w:t xml:space="preserve">reale e non risolta (B/C)</w:t>
      </w:r>
      <w:r>
        <w:rPr>
          <w:rFonts w:ascii="Times New Roman" w:cs="Times New Roman" w:eastAsia="Times New Roman" w:hAnsi="Times New Roman"/>
          <w:sz w:val="24"/>
          <w:szCs w:val="24"/>
        </w:rPr>
        <w:t xml:space="preserve">: la si registra come tale, non la si scioglie in una direzione o nell'altra.</w:t>
      </w:r>
    </w:p>
    <w:p>
      <w:pPr>
        <w:spacing w:after="120" w:line="276"/>
        <w:jc w:val="both"/>
      </w:pPr>
      <w:r>
        <w:rPr>
          <w:rFonts w:ascii="Times New Roman" w:cs="Times New Roman" w:eastAsia="Times New Roman" w:hAnsi="Times New Roman"/>
          <w:b/>
          <w:bCs/>
          <w:sz w:val="24"/>
          <w:szCs w:val="24"/>
        </w:rPr>
        <w:t xml:space="preserve">Che cosa la smentirebbe.</w:t>
      </w:r>
      <w:r>
        <w:rPr>
          <w:rFonts w:ascii="Times New Roman" w:cs="Times New Roman" w:eastAsia="Times New Roman" w:hAnsi="Times New Roman"/>
          <w:sz w:val="24"/>
          <w:szCs w:val="24"/>
        </w:rPr>
        <w:t xml:space="preserve"> La tesi corrente — commando interamente brigatista — cadrebbe soltanto davanti a una prova positiva della presenza operativa, sulla scena, di un tiratore </w:t>
      </w:r>
      <w:r>
        <w:rPr>
          <w:rFonts w:ascii="Times New Roman" w:cs="Times New Roman" w:eastAsia="Times New Roman" w:hAnsi="Times New Roman"/>
          <w:i/>
          <w:iCs/>
          <w:sz w:val="24"/>
          <w:szCs w:val="24"/>
        </w:rPr>
        <w:t xml:space="preserve">non</w:t>
      </w:r>
      <w:r>
        <w:rPr>
          <w:rFonts w:ascii="Times New Roman" w:cs="Times New Roman" w:eastAsia="Times New Roman" w:hAnsi="Times New Roman"/>
          <w:sz w:val="24"/>
          <w:szCs w:val="24"/>
        </w:rPr>
        <w:t xml:space="preserve"> riconducibile alle BR: non davanti a un'anomalia balistica compatibile con più letture, non davanti a un testimone discorde. Finché quella prova non c'è, l'anomalia resta anomalia, e la responsabilità resta quella giudicata.</w:t>
      </w:r>
    </w:p>
    <w:p>
      <w:pPr>
        <w:pStyle w:val="Heading2"/>
        <w:spacing w:after="100" w:before="200"/>
      </w:pPr>
      <w:r>
        <w:rPr>
          <w:rFonts w:ascii="Times New Roman" w:cs="Times New Roman" w:eastAsia="Times New Roman" w:hAnsi="Times New Roman"/>
          <w:sz w:val="24"/>
          <w:szCs w:val="24"/>
        </w:rPr>
        <w:t xml:space="preserve">IV. La «prigione del popolo»</w:t>
      </w:r>
    </w:p>
    <w:p>
      <w:pPr>
        <w:spacing w:after="120" w:line="276"/>
        <w:jc w:val="both"/>
      </w:pPr>
      <w:r>
        <w:rPr>
          <w:rFonts w:ascii="Times New Roman" w:cs="Times New Roman" w:eastAsia="Times New Roman" w:hAnsi="Times New Roman"/>
          <w:b/>
          <w:bCs/>
          <w:sz w:val="24"/>
          <w:szCs w:val="24"/>
        </w:rPr>
        <w:t xml:space="preserve">Accertato (A).</w:t>
      </w:r>
      <w:r>
        <w:rPr>
          <w:rFonts w:ascii="Times New Roman" w:cs="Times New Roman" w:eastAsia="Times New Roman" w:hAnsi="Times New Roman"/>
          <w:sz w:val="24"/>
          <w:szCs w:val="24"/>
        </w:rPr>
        <w:t xml:space="preserve"> Moro fu tenuto prigioniero in un covo di Roma; le indagini e le ammissioni successive hanno identificato l'appartamento di </w:t>
      </w:r>
      <w:r>
        <w:rPr>
          <w:rFonts w:ascii="Times New Roman" w:cs="Times New Roman" w:eastAsia="Times New Roman" w:hAnsi="Times New Roman"/>
          <w:b/>
          <w:bCs/>
          <w:sz w:val="24"/>
          <w:szCs w:val="24"/>
        </w:rPr>
        <w:t xml:space="preserve">via Montalcini 8</w:t>
      </w:r>
      <w:r>
        <w:rPr>
          <w:rFonts w:ascii="Times New Roman" w:cs="Times New Roman" w:eastAsia="Times New Roman" w:hAnsi="Times New Roman"/>
          <w:sz w:val="24"/>
          <w:szCs w:val="24"/>
        </w:rPr>
        <w:t xml:space="preserve">, gestito da Anna Laura Braghetti, come la prigione. Vi fu tenuto, interrogato, e vi fu redatto il carteggio.</w:t>
      </w:r>
    </w:p>
    <w:p>
      <w:pPr>
        <w:spacing w:after="120" w:line="276"/>
        <w:jc w:val="both"/>
      </w:pPr>
      <w:r>
        <w:rPr>
          <w:rFonts w:ascii="Times New Roman" w:cs="Times New Roman" w:eastAsia="Times New Roman" w:hAnsi="Times New Roman"/>
          <w:b/>
          <w:bCs/>
          <w:sz w:val="24"/>
          <w:szCs w:val="24"/>
        </w:rPr>
        <w:t xml:space="preserve">Il dubbio residuo (B/C).</w:t>
      </w:r>
      <w:r>
        <w:rPr>
          <w:rFonts w:ascii="Times New Roman" w:cs="Times New Roman" w:eastAsia="Times New Roman" w:hAnsi="Times New Roman"/>
          <w:sz w:val="24"/>
          <w:szCs w:val="24"/>
        </w:rPr>
        <w:t xml:space="preserve"> Una parte della pubblicistica ha ipotizzato una o più prigioni diverse o ulteriori, sulla base di dettagli ambientali contenuti nelle lettere e di testimonianze successive. La questione è </w:t>
      </w:r>
      <w:r>
        <w:rPr>
          <w:rFonts w:ascii="Times New Roman" w:cs="Times New Roman" w:eastAsia="Times New Roman" w:hAnsi="Times New Roman"/>
          <w:b/>
          <w:bCs/>
          <w:sz w:val="24"/>
          <w:szCs w:val="24"/>
        </w:rPr>
        <w:t xml:space="preserve">di Livello C</w:t>
      </w:r>
      <w:r>
        <w:rPr>
          <w:rFonts w:ascii="Times New Roman" w:cs="Times New Roman" w:eastAsia="Times New Roman" w:hAnsi="Times New Roman"/>
          <w:sz w:val="24"/>
          <w:szCs w:val="24"/>
        </w:rPr>
        <w:t xml:space="preserve">: possibile, non provata; nessun documento ha finora spostato la prigione da via Montalcini, e la sua identificazione regge. Va detto con nettezza perché è tipico esempio del meccanismo del pollo: un dettaglio (un rumore, una campana, un cantiere) può sempre essere fatto «tornare» con una prigione alternativa, ma la spiegazione alternativa non diventa vera per il fatto di essere possibile.</w:t>
      </w:r>
    </w:p>
    <w:p>
      <w:pPr>
        <w:pStyle w:val="Heading2"/>
        <w:spacing w:after="100" w:before="200"/>
      </w:pPr>
      <w:r>
        <w:rPr>
          <w:rFonts w:ascii="Times New Roman" w:cs="Times New Roman" w:eastAsia="Times New Roman" w:hAnsi="Times New Roman"/>
          <w:sz w:val="24"/>
          <w:szCs w:val="24"/>
        </w:rPr>
        <w:t xml:space="preserve">V. Via Gradoli e la seduta spiritica</w:t>
      </w:r>
    </w:p>
    <w:p>
      <w:pPr>
        <w:spacing w:after="120" w:line="276"/>
        <w:jc w:val="both"/>
      </w:pPr>
      <w:r>
        <w:rPr>
          <w:rFonts w:ascii="Times New Roman" w:cs="Times New Roman" w:eastAsia="Times New Roman" w:hAnsi="Times New Roman"/>
          <w:b/>
          <w:bCs/>
          <w:sz w:val="24"/>
          <w:szCs w:val="24"/>
        </w:rPr>
        <w:t xml:space="preserve">Accertato (A).</w:t>
      </w:r>
      <w:r>
        <w:rPr>
          <w:rFonts w:ascii="Times New Roman" w:cs="Times New Roman" w:eastAsia="Times New Roman" w:hAnsi="Times New Roman"/>
          <w:sz w:val="24"/>
          <w:szCs w:val="24"/>
        </w:rPr>
        <w:t xml:space="preserve"> Il covo brigatista dell'appartamento di </w:t>
      </w:r>
      <w:r>
        <w:rPr>
          <w:rFonts w:ascii="Times New Roman" w:cs="Times New Roman" w:eastAsia="Times New Roman" w:hAnsi="Times New Roman"/>
          <w:b/>
          <w:bCs/>
          <w:sz w:val="24"/>
          <w:szCs w:val="24"/>
        </w:rPr>
        <w:t xml:space="preserve">via Gradoli 96</w:t>
      </w:r>
      <w:r>
        <w:rPr>
          <w:rFonts w:ascii="Times New Roman" w:cs="Times New Roman" w:eastAsia="Times New Roman" w:hAnsi="Times New Roman"/>
          <w:sz w:val="24"/>
          <w:szCs w:val="24"/>
        </w:rPr>
        <w:t xml:space="preserve">, a Roma, dove abitava Mario Moretti, fu scoperto il 18 aprile 1978 in seguito a un allagamento. Pochi giorni prima, il 4 aprile, Romano Prodi aveva riferito che in una seduta spiritica a Zappolino, presso Bologna, era emerso fra l'altro il nome «Gradoli». Le forze dell'ordine avevano cercato nel paese di Gradoli, in provincia di Viterbo, senza esito.</w:t>
      </w:r>
    </w:p>
    <w:p>
      <w:pPr>
        <w:spacing w:after="120" w:line="276"/>
        <w:jc w:val="both"/>
      </w:pPr>
      <w:r>
        <w:rPr>
          <w:rFonts w:ascii="Times New Roman" w:cs="Times New Roman" w:eastAsia="Times New Roman" w:hAnsi="Times New Roman"/>
          <w:b/>
          <w:bCs/>
          <w:sz w:val="24"/>
          <w:szCs w:val="24"/>
        </w:rPr>
        <w:t xml:space="preserve">Il grado della «coincidenza» (B/C).</w:t>
      </w:r>
      <w:r>
        <w:rPr>
          <w:rFonts w:ascii="Times New Roman" w:cs="Times New Roman" w:eastAsia="Times New Roman" w:hAnsi="Times New Roman"/>
          <w:sz w:val="24"/>
          <w:szCs w:val="24"/>
        </w:rPr>
        <w:t xml:space="preserve"> Che l'episodio della seduta spiritica sia realmente avvenuto e sia stato riferito è </w:t>
      </w:r>
      <w:r>
        <w:rPr>
          <w:rFonts w:ascii="Times New Roman" w:cs="Times New Roman" w:eastAsia="Times New Roman" w:hAnsi="Times New Roman"/>
          <w:b/>
          <w:bCs/>
          <w:sz w:val="24"/>
          <w:szCs w:val="24"/>
        </w:rPr>
        <w:t xml:space="preserve">accertato</w:t>
      </w:r>
      <w:r>
        <w:rPr>
          <w:rFonts w:ascii="Times New Roman" w:cs="Times New Roman" w:eastAsia="Times New Roman" w:hAnsi="Times New Roman"/>
          <w:sz w:val="24"/>
          <w:szCs w:val="24"/>
        </w:rPr>
        <w:t xml:space="preserve">; i dodici partecipanti ne hanno confermato la versione e nessuno l'ha ritrattata in quarant'anni. Che dietro il nome «Gradoli» vi fosse una fonte informata che scelse quel canale improbabile per veicolare un'indicazione senza scoprirsi è </w:t>
      </w:r>
      <w:r>
        <w:rPr>
          <w:rFonts w:ascii="Times New Roman" w:cs="Times New Roman" w:eastAsia="Times New Roman" w:hAnsi="Times New Roman"/>
          <w:b/>
          <w:bCs/>
          <w:sz w:val="24"/>
          <w:szCs w:val="24"/>
        </w:rPr>
        <w:t xml:space="preserve">ipotesi di Livello C</w:t>
      </w:r>
      <w:r>
        <w:rPr>
          <w:rFonts w:ascii="Times New Roman" w:cs="Times New Roman" w:eastAsia="Times New Roman" w:hAnsi="Times New Roman"/>
          <w:sz w:val="24"/>
          <w:szCs w:val="24"/>
        </w:rPr>
        <w:t xml:space="preserve">: possibile, suggestiva, e non provata. La lettura innocente — una coincidenza, o il riaffiorare di un toponimo udito e rimosso — è anch'essa di Livello C. Qui il Pollo di Popper impone la sospensione: fra due spiegazioni entrambe soltanto possibili, e in assenza di un documento che ne privilegi una, l'opera non sceglie. Registrare la stranezza è doveroso; risolverla per verosimiglianza sarebbe esattamente il salto vietato.</w:t>
      </w:r>
    </w:p>
    <w:p>
      <w:pPr>
        <w:pStyle w:val="Heading2"/>
        <w:spacing w:after="100" w:before="200"/>
      </w:pPr>
      <w:r>
        <w:rPr>
          <w:rFonts w:ascii="Times New Roman" w:cs="Times New Roman" w:eastAsia="Times New Roman" w:hAnsi="Times New Roman"/>
          <w:sz w:val="24"/>
          <w:szCs w:val="24"/>
        </w:rPr>
        <w:t xml:space="preserve">VI. La linea della fermezza e la trattativa</w:t>
      </w:r>
    </w:p>
    <w:p>
      <w:pPr>
        <w:spacing w:after="120" w:line="276"/>
        <w:jc w:val="both"/>
      </w:pPr>
      <w:r>
        <w:rPr>
          <w:rFonts w:ascii="Times New Roman" w:cs="Times New Roman" w:eastAsia="Times New Roman" w:hAnsi="Times New Roman"/>
          <w:b/>
          <w:bCs/>
          <w:sz w:val="24"/>
          <w:szCs w:val="24"/>
        </w:rPr>
        <w:t xml:space="preserve">Accertato (A).</w:t>
      </w:r>
      <w:r>
        <w:rPr>
          <w:rFonts w:ascii="Times New Roman" w:cs="Times New Roman" w:eastAsia="Times New Roman" w:hAnsi="Times New Roman"/>
          <w:sz w:val="24"/>
          <w:szCs w:val="24"/>
        </w:rPr>
        <w:t xml:space="preserve"> Lo Stato, nella sua maggioranza politica, adottò la </w:t>
      </w:r>
      <w:r>
        <w:rPr>
          <w:rFonts w:ascii="Times New Roman" w:cs="Times New Roman" w:eastAsia="Times New Roman" w:hAnsi="Times New Roman"/>
          <w:b/>
          <w:bCs/>
          <w:sz w:val="24"/>
          <w:szCs w:val="24"/>
        </w:rPr>
        <w:t xml:space="preserve">linea della fermezza</w:t>
      </w:r>
      <w:r>
        <w:rPr>
          <w:rFonts w:ascii="Times New Roman" w:cs="Times New Roman" w:eastAsia="Times New Roman" w:hAnsi="Times New Roman"/>
          <w:sz w:val="24"/>
          <w:szCs w:val="24"/>
        </w:rPr>
        <w:t xml:space="preserve">: nessuna trattativa che riconoscesse le BR come controparte. Fu una scelta pubblica, dibattuta in Parlamento e sulla stampa, con una minoranza — parte del PSI di Craxi, settori del mondo cattolico, voci dello stesso entourage moroteo — favorevole a una qualche forma di trattativa umanitaria. Le lettere di Moro dalla prigionia invocarono ripetutamente la trattativa e polemizzarono con la fermezza.</w:t>
      </w:r>
    </w:p>
    <w:p>
      <w:pPr>
        <w:spacing w:after="120" w:line="276"/>
        <w:jc w:val="both"/>
      </w:pPr>
      <w:r>
        <w:rPr>
          <w:rFonts w:ascii="Times New Roman" w:cs="Times New Roman" w:eastAsia="Times New Roman" w:hAnsi="Times New Roman"/>
          <w:b/>
          <w:bCs/>
          <w:sz w:val="24"/>
          <w:szCs w:val="24"/>
        </w:rPr>
        <w:t xml:space="preserve">Ciò che resta interpretazione (B/C).</w:t>
      </w:r>
      <w:r>
        <w:rPr>
          <w:rFonts w:ascii="Times New Roman" w:cs="Times New Roman" w:eastAsia="Times New Roman" w:hAnsi="Times New Roman"/>
          <w:sz w:val="24"/>
          <w:szCs w:val="24"/>
        </w:rPr>
        <w:t xml:space="preserve"> Se una trattativa avrebbe salvato Moro è </w:t>
      </w:r>
      <w:r>
        <w:rPr>
          <w:rFonts w:ascii="Times New Roman" w:cs="Times New Roman" w:eastAsia="Times New Roman" w:hAnsi="Times New Roman"/>
          <w:b/>
          <w:bCs/>
          <w:sz w:val="24"/>
          <w:szCs w:val="24"/>
        </w:rPr>
        <w:t xml:space="preserve">contro-fattuale</w:t>
      </w:r>
      <w:r>
        <w:rPr>
          <w:rFonts w:ascii="Times New Roman" w:cs="Times New Roman" w:eastAsia="Times New Roman" w:hAnsi="Times New Roman"/>
          <w:sz w:val="24"/>
          <w:szCs w:val="24"/>
        </w:rPr>
        <w:t xml:space="preserve">, e i contro-fattuali non hanno livello di prova: sono, per definizione, non falsificabili. Che alcune aperture di canale siano state avviate e poi interrotte è documentato in parte; </w:t>
      </w:r>
      <w:r>
        <w:rPr>
          <w:rFonts w:ascii="Times New Roman" w:cs="Times New Roman" w:eastAsia="Times New Roman" w:hAnsi="Times New Roman"/>
          <w:i/>
          <w:iCs/>
          <w:sz w:val="24"/>
          <w:szCs w:val="24"/>
        </w:rPr>
        <w:t xml:space="preserve">perché</w:t>
      </w:r>
      <w:r>
        <w:rPr>
          <w:rFonts w:ascii="Times New Roman" w:cs="Times New Roman" w:eastAsia="Times New Roman" w:hAnsi="Times New Roman"/>
          <w:sz w:val="24"/>
          <w:szCs w:val="24"/>
        </w:rPr>
        <w:t xml:space="preserve"> si interruppero, e con quale grado di sincerità furono percorse, è materia di Livello B/C su cui le Commissioni hanno raccolto versioni non del tutto concordi. L'opera registra la scelta della fermezza come fatto e le sue conseguenze come storia; ma non trasforma la legittima critica politica a quella scelta in prova di un disegno di eliminazione. Volere Moro salvo o accettarne il sacrificio come «male minore» sono posizioni politiche documentate; </w:t>
      </w:r>
      <w:r>
        <w:rPr>
          <w:rFonts w:ascii="Times New Roman" w:cs="Times New Roman" w:eastAsia="Times New Roman" w:hAnsi="Times New Roman"/>
          <w:i/>
          <w:iCs/>
          <w:sz w:val="24"/>
          <w:szCs w:val="24"/>
        </w:rPr>
        <w:t xml:space="preserve">ordinarne</w:t>
      </w:r>
      <w:r>
        <w:rPr>
          <w:rFonts w:ascii="Times New Roman" w:cs="Times New Roman" w:eastAsia="Times New Roman" w:hAnsi="Times New Roman"/>
          <w:sz w:val="24"/>
          <w:szCs w:val="24"/>
        </w:rPr>
        <w:t xml:space="preserve"> la morte è un'altra cosa, e nessun atto la documenta a carico dei sostenitori della fermezza.</w:t>
      </w:r>
    </w:p>
    <w:p>
      <w:pPr>
        <w:pStyle w:val="Heading2"/>
        <w:spacing w:after="100" w:before="200"/>
      </w:pPr>
      <w:r>
        <w:rPr>
          <w:rFonts w:ascii="Times New Roman" w:cs="Times New Roman" w:eastAsia="Times New Roman" w:hAnsi="Times New Roman"/>
          <w:sz w:val="24"/>
          <w:szCs w:val="24"/>
        </w:rPr>
        <w:t xml:space="preserve">VII. Le occasioni mancate e i ritardi</w:t>
      </w:r>
    </w:p>
    <w:p>
      <w:pPr>
        <w:spacing w:after="120" w:line="276"/>
        <w:jc w:val="both"/>
      </w:pPr>
      <w:r>
        <w:rPr>
          <w:rFonts w:ascii="Times New Roman" w:cs="Times New Roman" w:eastAsia="Times New Roman" w:hAnsi="Times New Roman"/>
          <w:b/>
          <w:bCs/>
          <w:sz w:val="24"/>
          <w:szCs w:val="24"/>
        </w:rPr>
        <w:t xml:space="preserve">Accertato (A).</w:t>
      </w:r>
      <w:r>
        <w:rPr>
          <w:rFonts w:ascii="Times New Roman" w:cs="Times New Roman" w:eastAsia="Times New Roman" w:hAnsi="Times New Roman"/>
          <w:sz w:val="24"/>
          <w:szCs w:val="24"/>
        </w:rPr>
        <w:t xml:space="preserve"> Le ricerche dei cinquantacinque giorni furono, in più punti, inefficaci: covi non individuati, segnalazioni non seguite, il caso di via Gradoli. La Commissione Fioroni (2014-2018) ha documentato «quarant'anni di indagini mal condotte e vere campagne di disinformazione».</w:t>
      </w:r>
    </w:p>
    <w:p>
      <w:pPr>
        <w:spacing w:after="120" w:line="276"/>
        <w:jc w:val="both"/>
      </w:pPr>
      <w:r>
        <w:rPr>
          <w:rFonts w:ascii="Times New Roman" w:cs="Times New Roman" w:eastAsia="Times New Roman" w:hAnsi="Times New Roman"/>
          <w:b/>
          <w:bCs/>
          <w:sz w:val="24"/>
          <w:szCs w:val="24"/>
        </w:rPr>
        <w:t xml:space="preserve">Il crinale fra inefficienza e dolo (B/C).</w:t>
      </w:r>
      <w:r>
        <w:rPr>
          <w:rFonts w:ascii="Times New Roman" w:cs="Times New Roman" w:eastAsia="Times New Roman" w:hAnsi="Times New Roman"/>
          <w:sz w:val="24"/>
          <w:szCs w:val="24"/>
        </w:rPr>
        <w:t xml:space="preserve"> Qui si gioca la partita più delicata dell'intero caso, ed è la partita in cui il Pollo di Popper conta di più. Un ritardo, un covo mancato, una segnalazione ignorata sono </w:t>
      </w:r>
      <w:r>
        <w:rPr>
          <w:rFonts w:ascii="Times New Roman" w:cs="Times New Roman" w:eastAsia="Times New Roman" w:hAnsi="Times New Roman"/>
          <w:b/>
          <w:bCs/>
          <w:sz w:val="24"/>
          <w:szCs w:val="24"/>
        </w:rPr>
        <w:t xml:space="preserve">compatibili con due letture radicalmente diverse</w:t>
      </w:r>
      <w:r>
        <w:rPr>
          <w:rFonts w:ascii="Times New Roman" w:cs="Times New Roman" w:eastAsia="Times New Roman" w:hAnsi="Times New Roman"/>
          <w:sz w:val="24"/>
          <w:szCs w:val="24"/>
        </w:rPr>
        <w:t xml:space="preserve">: l'inefficienza di un apparato allora impreparato al terrorismo, e il sabotaggio deliberato. La prima è di Livello A come </w:t>
      </w:r>
      <w:r>
        <w:rPr>
          <w:rFonts w:ascii="Times New Roman" w:cs="Times New Roman" w:eastAsia="Times New Roman" w:hAnsi="Times New Roman"/>
          <w:i/>
          <w:iCs/>
          <w:sz w:val="24"/>
          <w:szCs w:val="24"/>
        </w:rPr>
        <w:t xml:space="preserve">fatto</w:t>
      </w:r>
      <w:r>
        <w:rPr>
          <w:rFonts w:ascii="Times New Roman" w:cs="Times New Roman" w:eastAsia="Times New Roman" w:hAnsi="Times New Roman"/>
          <w:sz w:val="24"/>
          <w:szCs w:val="24"/>
        </w:rPr>
        <w:t xml:space="preserve"> (i ritardi ci furono); la seconda è di Livello C come </w:t>
      </w:r>
      <w:r>
        <w:rPr>
          <w:rFonts w:ascii="Times New Roman" w:cs="Times New Roman" w:eastAsia="Times New Roman" w:hAnsi="Times New Roman"/>
          <w:i/>
          <w:iCs/>
          <w:sz w:val="24"/>
          <w:szCs w:val="24"/>
        </w:rPr>
        <w:t xml:space="preserve">spiegazione</w:t>
      </w:r>
      <w:r>
        <w:rPr>
          <w:rFonts w:ascii="Times New Roman" w:cs="Times New Roman" w:eastAsia="Times New Roman" w:hAnsi="Times New Roman"/>
          <w:sz w:val="24"/>
          <w:szCs w:val="24"/>
        </w:rPr>
        <w:t xml:space="preserve"> (il dolo non è provato caso per caso). La tentazione combinatoria è di sommare le inefficienze finché la loro quantità «dimostra» il dolo. Ma la Regola di Ferro lo vieta: dieci negligenze non provano un piano, come dieci indizi di Livello C non fanno un Livello B. Ciascun ritardo va provato dolo per dolo, con un documento, non inferito dal numero.</w:t>
      </w:r>
    </w:p>
    <w:p>
      <w:pPr>
        <w:pStyle w:val="Heading2"/>
        <w:spacing w:after="100" w:before="200"/>
      </w:pPr>
      <w:r>
        <w:rPr>
          <w:rFonts w:ascii="Times New Roman" w:cs="Times New Roman" w:eastAsia="Times New Roman" w:hAnsi="Times New Roman"/>
          <w:sz w:val="24"/>
          <w:szCs w:val="24"/>
        </w:rPr>
        <w:t xml:space="preserve">VIII. Il memoriale di via Monte Nevoso, in due tempi</w:t>
      </w:r>
    </w:p>
    <w:p>
      <w:pPr>
        <w:spacing w:after="120" w:line="276"/>
        <w:jc w:val="both"/>
      </w:pPr>
      <w:r>
        <w:rPr>
          <w:rFonts w:ascii="Times New Roman" w:cs="Times New Roman" w:eastAsia="Times New Roman" w:hAnsi="Times New Roman"/>
          <w:b/>
          <w:bCs/>
          <w:sz w:val="24"/>
          <w:szCs w:val="24"/>
        </w:rPr>
        <w:t xml:space="preserve">Accertato (A).</w:t>
      </w:r>
      <w:r>
        <w:rPr>
          <w:rFonts w:ascii="Times New Roman" w:cs="Times New Roman" w:eastAsia="Times New Roman" w:hAnsi="Times New Roman"/>
          <w:sz w:val="24"/>
          <w:szCs w:val="24"/>
        </w:rPr>
        <w:t xml:space="preserve"> Nel covo di </w:t>
      </w:r>
      <w:r>
        <w:rPr>
          <w:rFonts w:ascii="Times New Roman" w:cs="Times New Roman" w:eastAsia="Times New Roman" w:hAnsi="Times New Roman"/>
          <w:b/>
          <w:bCs/>
          <w:sz w:val="24"/>
          <w:szCs w:val="24"/>
        </w:rPr>
        <w:t xml:space="preserve">via Monte Nevoso 8</w:t>
      </w:r>
      <w:r>
        <w:rPr>
          <w:rFonts w:ascii="Times New Roman" w:cs="Times New Roman" w:eastAsia="Times New Roman" w:hAnsi="Times New Roman"/>
          <w:sz w:val="24"/>
          <w:szCs w:val="24"/>
        </w:rPr>
        <w:t xml:space="preserve">, a Milano, furono rinvenuti scritti della prigionia di Moro (trascrizioni dattiloscritte e fotocopie di pagine autografe) </w:t>
      </w:r>
      <w:r>
        <w:rPr>
          <w:rFonts w:ascii="Times New Roman" w:cs="Times New Roman" w:eastAsia="Times New Roman" w:hAnsi="Times New Roman"/>
          <w:b/>
          <w:bCs/>
          <w:sz w:val="24"/>
          <w:szCs w:val="24"/>
        </w:rPr>
        <w:t xml:space="preserve">in due momenti distinti</w:t>
      </w:r>
      <w:r>
        <w:rPr>
          <w:rFonts w:ascii="Times New Roman" w:cs="Times New Roman" w:eastAsia="Times New Roman" w:hAnsi="Times New Roman"/>
          <w:sz w:val="24"/>
          <w:szCs w:val="24"/>
        </w:rPr>
        <w:t xml:space="preserve">: nell'ottobre 1978 una versione parziale, e nell'ottobre 1990 — dietro un pannello di cartongesso, durante lavori di ristrutturazione — una versione assai più ampia. Gli originali non furono mai trovati.</w:t>
      </w:r>
    </w:p>
    <w:p>
      <w:pPr>
        <w:spacing w:after="120" w:line="276"/>
        <w:jc w:val="both"/>
      </w:pPr>
      <w:r>
        <w:rPr>
          <w:rFonts w:ascii="Times New Roman" w:cs="Times New Roman" w:eastAsia="Times New Roman" w:hAnsi="Times New Roman"/>
          <w:b/>
          <w:bCs/>
          <w:sz w:val="24"/>
          <w:szCs w:val="24"/>
        </w:rPr>
        <w:t xml:space="preserve">Il grado del «doppio ritrovamento» (B/C).</w:t>
      </w:r>
      <w:r>
        <w:rPr>
          <w:rFonts w:ascii="Times New Roman" w:cs="Times New Roman" w:eastAsia="Times New Roman" w:hAnsi="Times New Roman"/>
          <w:sz w:val="24"/>
          <w:szCs w:val="24"/>
        </w:rPr>
        <w:t xml:space="preserve"> Che il ritrovamento sia avvenuto in due tempi è </w:t>
      </w:r>
      <w:r>
        <w:rPr>
          <w:rFonts w:ascii="Times New Roman" w:cs="Times New Roman" w:eastAsia="Times New Roman" w:hAnsi="Times New Roman"/>
          <w:b/>
          <w:bCs/>
          <w:sz w:val="24"/>
          <w:szCs w:val="24"/>
        </w:rPr>
        <w:t xml:space="preserve">accertato</w:t>
      </w:r>
      <w:r>
        <w:rPr>
          <w:rFonts w:ascii="Times New Roman" w:cs="Times New Roman" w:eastAsia="Times New Roman" w:hAnsi="Times New Roman"/>
          <w:sz w:val="24"/>
          <w:szCs w:val="24"/>
        </w:rPr>
        <w:t xml:space="preserve">. Che la versione del 1978 fosse </w:t>
      </w:r>
      <w:r>
        <w:rPr>
          <w:rFonts w:ascii="Times New Roman" w:cs="Times New Roman" w:eastAsia="Times New Roman" w:hAnsi="Times New Roman"/>
          <w:i/>
          <w:iCs/>
          <w:sz w:val="24"/>
          <w:szCs w:val="24"/>
        </w:rPr>
        <w:t xml:space="preserve">deliberatamente</w:t>
      </w:r>
      <w:r>
        <w:rPr>
          <w:rFonts w:ascii="Times New Roman" w:cs="Times New Roman" w:eastAsia="Times New Roman" w:hAnsi="Times New Roman"/>
          <w:sz w:val="24"/>
          <w:szCs w:val="24"/>
        </w:rPr>
        <w:t xml:space="preserve"> incompleta e che parte delle carte sia stata sottratta o manipolata è </w:t>
      </w:r>
      <w:r>
        <w:rPr>
          <w:rFonts w:ascii="Times New Roman" w:cs="Times New Roman" w:eastAsia="Times New Roman" w:hAnsi="Times New Roman"/>
          <w:b/>
          <w:bCs/>
          <w:sz w:val="24"/>
          <w:szCs w:val="24"/>
        </w:rPr>
        <w:t xml:space="preserve">ipotesi di Livello B</w:t>
      </w:r>
      <w:r>
        <w:rPr>
          <w:rFonts w:ascii="Times New Roman" w:cs="Times New Roman" w:eastAsia="Times New Roman" w:hAnsi="Times New Roman"/>
          <w:sz w:val="24"/>
          <w:szCs w:val="24"/>
        </w:rPr>
        <w:t xml:space="preserve">: sostenuta da indizi seri (la constatazione, riferita, che al capitano Arlati furono restituite meno carte di quante ne fossero uscite dal covo) ma non conclusa da prova piena su chi e perché. È il punto in cui il sospetto di depistaggio ha la sua base documentale più solida — e proprio per questo va tenuto al suo livello esatto: un depistaggio </w:t>
      </w:r>
      <w:r>
        <w:rPr>
          <w:rFonts w:ascii="Times New Roman" w:cs="Times New Roman" w:eastAsia="Times New Roman" w:hAnsi="Times New Roman"/>
          <w:i/>
          <w:iCs/>
          <w:sz w:val="24"/>
          <w:szCs w:val="24"/>
        </w:rPr>
        <w:t xml:space="preserve">documentario</w:t>
      </w:r>
      <w:r>
        <w:rPr>
          <w:rFonts w:ascii="Times New Roman" w:cs="Times New Roman" w:eastAsia="Times New Roman" w:hAnsi="Times New Roman"/>
          <w:sz w:val="24"/>
          <w:szCs w:val="24"/>
        </w:rPr>
        <w:t xml:space="preserve"> probabile, non ancora un mandante nominato. La differenza fra «qualcuno alterò le carte» (B, verso A) e «il tale le alterò per conto del tale» (C) è tutta la differenza fra un fatto e un'accusa.</w:t>
      </w:r>
    </w:p>
    <w:p>
      <w:pPr>
        <w:pStyle w:val="Heading2"/>
        <w:spacing w:after="100" w:before="200"/>
      </w:pPr>
      <w:r>
        <w:rPr>
          <w:rFonts w:ascii="Times New Roman" w:cs="Times New Roman" w:eastAsia="Times New Roman" w:hAnsi="Times New Roman"/>
          <w:sz w:val="24"/>
          <w:szCs w:val="24"/>
        </w:rPr>
        <w:t xml:space="preserve">IX. Il quadro internazionale</w:t>
      </w:r>
    </w:p>
    <w:p>
      <w:pPr>
        <w:spacing w:after="120" w:line="276"/>
        <w:jc w:val="both"/>
      </w:pPr>
      <w:r>
        <w:rPr>
          <w:rFonts w:ascii="Times New Roman" w:cs="Times New Roman" w:eastAsia="Times New Roman" w:hAnsi="Times New Roman"/>
          <w:b/>
          <w:bCs/>
          <w:sz w:val="24"/>
          <w:szCs w:val="24"/>
        </w:rPr>
        <w:t xml:space="preserve">Accertato (A) come contesto.</w:t>
      </w:r>
      <w:r>
        <w:rPr>
          <w:rFonts w:ascii="Times New Roman" w:cs="Times New Roman" w:eastAsia="Times New Roman" w:hAnsi="Times New Roman"/>
          <w:sz w:val="24"/>
          <w:szCs w:val="24"/>
        </w:rPr>
        <w:t xml:space="preserve"> È documentata l'ostilità di settori dell'alleanza atlantica all'ingresso dei comunisti nell'area di governo italiana; è documentato l'avvertimento riferito da Corrado Guerzoni e confermato da Eleonora Chiavarelli Moro (Washington, collocato al 25 settembre 1974), sempre smentito da Kissinger; è documentata la presenza del consulente statunitense Steve Pieczenik nel comitato di crisi al fianco del ministro Cossiga.</w:t>
      </w:r>
    </w:p>
    <w:p>
      <w:pPr>
        <w:spacing w:after="120" w:line="276"/>
        <w:jc w:val="both"/>
      </w:pPr>
      <w:r>
        <w:rPr>
          <w:rFonts w:ascii="Times New Roman" w:cs="Times New Roman" w:eastAsia="Times New Roman" w:hAnsi="Times New Roman"/>
          <w:b/>
          <w:bCs/>
          <w:sz w:val="24"/>
          <w:szCs w:val="24"/>
        </w:rPr>
        <w:t xml:space="preserve">Il salto vietato (C).</w:t>
      </w:r>
      <w:r>
        <w:rPr>
          <w:rFonts w:ascii="Times New Roman" w:cs="Times New Roman" w:eastAsia="Times New Roman" w:hAnsi="Times New Roman"/>
          <w:sz w:val="24"/>
          <w:szCs w:val="24"/>
        </w:rPr>
        <w:t xml:space="preserve"> Dal contesto ostile </w:t>
      </w:r>
      <w:r>
        <w:rPr>
          <w:rFonts w:ascii="Times New Roman" w:cs="Times New Roman" w:eastAsia="Times New Roman" w:hAnsi="Times New Roman"/>
          <w:i/>
          <w:iCs/>
          <w:sz w:val="24"/>
          <w:szCs w:val="24"/>
        </w:rPr>
        <w:t xml:space="preserve">non discende</w:t>
      </w:r>
      <w:r>
        <w:rPr>
          <w:rFonts w:ascii="Times New Roman" w:cs="Times New Roman" w:eastAsia="Times New Roman" w:hAnsi="Times New Roman"/>
          <w:sz w:val="24"/>
          <w:szCs w:val="24"/>
        </w:rPr>
        <w:t xml:space="preserve"> la catena di comando. Che nemici politici di Moro esistessero, e potenti, è di Livello A; che uno di essi abbia armato o guidato la mano brigatista è di Livello C, e nessun documento — italiano o statunitense — lo attesta. La triangolazione condotta nel corpus di questa ricerca (il fascicolo su Kissinger) mostra il principio in forma pura: gli archi documentati di Kissinger sono statali e verticali (Cile, Angola, i fondi ai servizi italiani), mentre verso l'eversione nera privata restano soltanto convergenze di cornice. Applicato a Moro, il principio dice: </w:t>
      </w:r>
      <w:r>
        <w:rPr>
          <w:rFonts w:ascii="Times New Roman" w:cs="Times New Roman" w:eastAsia="Times New Roman" w:hAnsi="Times New Roman"/>
          <w:b/>
          <w:bCs/>
          <w:sz w:val="24"/>
          <w:szCs w:val="24"/>
        </w:rPr>
        <w:t xml:space="preserve">la prossimità di un nemico non è il suo mandato.</w:t>
      </w:r>
      <w:r>
        <w:rPr>
          <w:rFonts w:ascii="Times New Roman" w:cs="Times New Roman" w:eastAsia="Times New Roman" w:hAnsi="Times New Roman"/>
          <w:sz w:val="24"/>
          <w:szCs w:val="24"/>
        </w:rPr>
        <w:t xml:space="preserve"> Il movente internazionale spiega perché la mediazione di Moro fosse osteggiata; non prova chi lo abbia ucciso, che le sentenze indicano nelle Brigate Rosse.</w:t>
      </w:r>
    </w:p>
    <w:p>
      <w:pPr>
        <w:pStyle w:val="Heading2"/>
        <w:spacing w:after="100" w:before="200"/>
      </w:pPr>
      <w:r>
        <w:rPr>
          <w:rFonts w:ascii="Times New Roman" w:cs="Times New Roman" w:eastAsia="Times New Roman" w:hAnsi="Times New Roman"/>
          <w:sz w:val="24"/>
          <w:szCs w:val="24"/>
        </w:rPr>
        <w:t xml:space="preserve">X. I depistaggi e la «verità dicibile»</w:t>
      </w:r>
    </w:p>
    <w:p>
      <w:pPr>
        <w:spacing w:after="120" w:line="276"/>
        <w:jc w:val="both"/>
      </w:pPr>
      <w:r>
        <w:rPr>
          <w:rFonts w:ascii="Times New Roman" w:cs="Times New Roman" w:eastAsia="Times New Roman" w:hAnsi="Times New Roman"/>
          <w:b/>
          <w:bCs/>
          <w:sz w:val="24"/>
          <w:szCs w:val="24"/>
        </w:rPr>
        <w:t xml:space="preserve">Accertato (A).</w:t>
      </w:r>
      <w:r>
        <w:rPr>
          <w:rFonts w:ascii="Times New Roman" w:cs="Times New Roman" w:eastAsia="Times New Roman" w:hAnsi="Times New Roman"/>
          <w:sz w:val="24"/>
          <w:szCs w:val="24"/>
        </w:rPr>
        <w:t xml:space="preserve"> La Commissione Fioroni ha concluso che ciò che si è saputo del caso è, con la formula del suo presidente, una </w:t>
      </w:r>
      <w:r>
        <w:rPr>
          <w:rFonts w:ascii="Times New Roman" w:cs="Times New Roman" w:eastAsia="Times New Roman" w:hAnsi="Times New Roman"/>
          <w:b/>
          <w:bCs/>
          <w:sz w:val="24"/>
          <w:szCs w:val="24"/>
        </w:rPr>
        <w:t xml:space="preserve">«verità dicibile»</w:t>
      </w:r>
      <w:r>
        <w:rPr>
          <w:rFonts w:ascii="Times New Roman" w:cs="Times New Roman" w:eastAsia="Times New Roman" w:hAnsi="Times New Roman"/>
          <w:sz w:val="24"/>
          <w:szCs w:val="24"/>
        </w:rPr>
        <w:t xml:space="preserve">: quella che si poté raccontare per chiudere la stagione del terrorismo. Ha documentato depistaggi, silenzi e opacità di apparati; ha desecretato migliaia di documenti e raccolto centinaia di nuove testimonianze.</w:t>
      </w:r>
    </w:p>
    <w:p>
      <w:pPr>
        <w:spacing w:after="120" w:line="276"/>
        <w:jc w:val="both"/>
      </w:pPr>
      <w:r>
        <w:rPr>
          <w:rFonts w:ascii="Times New Roman" w:cs="Times New Roman" w:eastAsia="Times New Roman" w:hAnsi="Times New Roman"/>
          <w:b/>
          <w:bCs/>
          <w:sz w:val="24"/>
          <w:szCs w:val="24"/>
        </w:rPr>
        <w:t xml:space="preserve">Ciò che «verità dicibile» significa, e ciò che non significa.</w:t>
      </w:r>
      <w:r>
        <w:rPr>
          <w:rFonts w:ascii="Times New Roman" w:cs="Times New Roman" w:eastAsia="Times New Roman" w:hAnsi="Times New Roman"/>
          <w:sz w:val="24"/>
          <w:szCs w:val="24"/>
        </w:rPr>
        <w:t xml:space="preserve"> Significa, di Livello A, che la verità giudiziaria è </w:t>
      </w:r>
      <w:r>
        <w:rPr>
          <w:rFonts w:ascii="Times New Roman" w:cs="Times New Roman" w:eastAsia="Times New Roman" w:hAnsi="Times New Roman"/>
          <w:b/>
          <w:bCs/>
          <w:sz w:val="24"/>
          <w:szCs w:val="24"/>
        </w:rPr>
        <w:t xml:space="preserve">incompleta</w:t>
      </w:r>
      <w:r>
        <w:rPr>
          <w:rFonts w:ascii="Times New Roman" w:cs="Times New Roman" w:eastAsia="Times New Roman" w:hAnsi="Times New Roman"/>
          <w:sz w:val="24"/>
          <w:szCs w:val="24"/>
        </w:rPr>
        <w:t xml:space="preserve"> e che vi furono coperture. </w:t>
      </w:r>
      <w:r>
        <w:rPr>
          <w:rFonts w:ascii="Times New Roman" w:cs="Times New Roman" w:eastAsia="Times New Roman" w:hAnsi="Times New Roman"/>
          <w:i/>
          <w:iCs/>
          <w:sz w:val="24"/>
          <w:szCs w:val="24"/>
        </w:rPr>
        <w:t xml:space="preserve">Non</w:t>
      </w:r>
      <w:r>
        <w:rPr>
          <w:rFonts w:ascii="Times New Roman" w:cs="Times New Roman" w:eastAsia="Times New Roman" w:hAnsi="Times New Roman"/>
          <w:sz w:val="24"/>
          <w:szCs w:val="24"/>
        </w:rPr>
        <w:t xml:space="preserve"> significa, di per sé, che esista una verità </w:t>
      </w:r>
      <w:r>
        <w:rPr>
          <w:rFonts w:ascii="Times New Roman" w:cs="Times New Roman" w:eastAsia="Times New Roman" w:hAnsi="Times New Roman"/>
          <w:i/>
          <w:iCs/>
          <w:sz w:val="24"/>
          <w:szCs w:val="24"/>
        </w:rPr>
        <w:t xml:space="preserve">diversa</w:t>
      </w:r>
      <w:r>
        <w:rPr>
          <w:rFonts w:ascii="Times New Roman" w:cs="Times New Roman" w:eastAsia="Times New Roman" w:hAnsi="Times New Roman"/>
          <w:sz w:val="24"/>
          <w:szCs w:val="24"/>
        </w:rPr>
        <w:t xml:space="preserve"> già nota e taciuta: significa che restano zone di buio. La distinzione è capitale e il Pollo di Popper la impone. «Non sappiamo tutto» è un fatto accertato; «sappiamo che dietro c'è il tale» è un'inferenza che «non sappiamo tutto» non autorizza. Il vuoto documentato è un invito allo scavo, non una licenza al nome. Chi riempie il vuoto con un mandante compie, sul piano logico, lo stesso gesto del pollo: scambia l'assenza di smentita per presenza di prova.</w:t>
      </w:r>
    </w:p>
    <w:p>
      <w:pPr>
        <w:pBdr>
          <w:bottom w:val="single" w:color="999999" w:sz="6" w:space="1"/>
        </w:pBdr>
        <w:spacing w:after="80"/>
      </w:pPr>
    </w:p>
    <w:p>
      <w:pPr>
        <w:pStyle w:val="Heading1"/>
        <w:spacing w:after="120" w:before="240"/>
      </w:pPr>
      <w:r>
        <w:rPr>
          <w:rFonts w:ascii="Times New Roman" w:cs="Times New Roman" w:eastAsia="Times New Roman" w:hAnsi="Times New Roman"/>
          <w:sz w:val="24"/>
          <w:szCs w:val="24"/>
        </w:rPr>
        <w:t xml:space="preserve">Movimento terzo — Il rifiuto e la sua ragione</w:t>
      </w:r>
    </w:p>
    <w:p>
      <w:pPr>
        <w:pStyle w:val="Heading2"/>
        <w:spacing w:after="100" w:before="200"/>
      </w:pPr>
      <w:r>
        <w:rPr>
          <w:rFonts w:ascii="Times New Roman" w:cs="Times New Roman" w:eastAsia="Times New Roman" w:hAnsi="Times New Roman"/>
          <w:sz w:val="24"/>
          <w:szCs w:val="24"/>
        </w:rPr>
        <w:t xml:space="preserve">XI. Contro la graduatoria: perché non si numera un sospetto</w:t>
      </w:r>
    </w:p>
    <w:p>
      <w:pPr>
        <w:spacing w:after="120" w:line="276"/>
        <w:jc w:val="both"/>
      </w:pPr>
      <w:r>
        <w:rPr>
          <w:rFonts w:ascii="Times New Roman" w:cs="Times New Roman" w:eastAsia="Times New Roman" w:hAnsi="Times New Roman"/>
          <w:sz w:val="24"/>
          <w:szCs w:val="24"/>
        </w:rPr>
        <w:t xml:space="preserve">Il cuore di questa continuazione è un rifiuto, e va motivato fino in fondo, perché non sia scambiato per reticenza.</w:t>
      </w:r>
    </w:p>
    <w:p>
      <w:pPr>
        <w:spacing w:after="120" w:line="276"/>
        <w:jc w:val="both"/>
      </w:pPr>
      <w:r>
        <w:rPr>
          <w:rFonts w:ascii="Times New Roman" w:cs="Times New Roman" w:eastAsia="Times New Roman" w:hAnsi="Times New Roman"/>
          <w:sz w:val="24"/>
          <w:szCs w:val="24"/>
        </w:rPr>
        <w:t xml:space="preserve">Una graduatoria di probabili responsabili — anche la più scrupolosa, anche quella che premette a sé una clausola garantista — compie un'operazione che il diritto conosce e vieta: </w:t>
      </w:r>
      <w:r>
        <w:rPr>
          <w:rFonts w:ascii="Times New Roman" w:cs="Times New Roman" w:eastAsia="Times New Roman" w:hAnsi="Times New Roman"/>
          <w:b/>
          <w:bCs/>
          <w:sz w:val="24"/>
          <w:szCs w:val="24"/>
        </w:rPr>
        <w:t xml:space="preserve">trasforma il sospetto in un ordinale</w:t>
      </w:r>
      <w:r>
        <w:rPr>
          <w:rFonts w:ascii="Times New Roman" w:cs="Times New Roman" w:eastAsia="Times New Roman" w:hAnsi="Times New Roman"/>
          <w:sz w:val="24"/>
          <w:szCs w:val="24"/>
        </w:rPr>
        <w:t xml:space="preserve">. Dire «il tale è il responsabile più probabile» significa assegnargli un posto in una classifica di colpevolezza senza il solo strumento che può assegnarlo legittimamente, che è il processo con le sue garanzie: il contraddittorio, la difesa, la prova che regge all'urto della difesa. Fuori da quel recinto, la probabilità sul nome di una persona non è un grado di conoscenza: è un marchio. E il marchio, una volta impresso, non conosce assoluzione — perché nessun tribunale lo ha comminato, nessun tribunale può revocarlo.</w:t>
      </w:r>
    </w:p>
    <w:p>
      <w:pPr>
        <w:spacing w:after="120" w:line="276"/>
        <w:jc w:val="both"/>
      </w:pPr>
      <w:r>
        <w:rPr>
          <w:rFonts w:ascii="Times New Roman" w:cs="Times New Roman" w:eastAsia="Times New Roman" w:hAnsi="Times New Roman"/>
          <w:sz w:val="24"/>
          <w:szCs w:val="24"/>
        </w:rPr>
        <w:t xml:space="preserve">Vi è di più, e tocca la sostanza del metodo che quest'opera si è dato. L'apparato che la governa — la Regola di Ferro, i tre stati di Cartesio, il presidio del ferreo — stabilisce che una convergenza non si promuove mai a rapporto, che la sincronia non è prova, che la federazione dei casi accresce l'attestazione e non trasporta lo stato di un nodo. Ebbene: una graduatoria di mandanti è, in termini di quell'apparato, la promozione vietata per eccellenza. Prende nodi che stanno allo stato del </w:t>
      </w:r>
      <w:r>
        <w:rPr>
          <w:rFonts w:ascii="Times New Roman" w:cs="Times New Roman" w:eastAsia="Times New Roman" w:hAnsi="Times New Roman"/>
          <w:i/>
          <w:iCs/>
          <w:sz w:val="24"/>
          <w:szCs w:val="24"/>
        </w:rPr>
        <w:t xml:space="preserve">dubbio</w:t>
      </w:r>
      <w:r>
        <w:rPr>
          <w:rFonts w:ascii="Times New Roman" w:cs="Times New Roman" w:eastAsia="Times New Roman" w:hAnsi="Times New Roman"/>
          <w:sz w:val="24"/>
          <w:szCs w:val="24"/>
        </w:rPr>
        <w:t xml:space="preserve"> — l'indagato, non l'affermato — e li dispone come se fossero allo stato dello </w:t>
      </w:r>
      <w:r>
        <w:rPr>
          <w:rFonts w:ascii="Times New Roman" w:cs="Times New Roman" w:eastAsia="Times New Roman" w:hAnsi="Times New Roman"/>
          <w:i/>
          <w:iCs/>
          <w:sz w:val="24"/>
          <w:szCs w:val="24"/>
        </w:rPr>
        <w:t xml:space="preserve">sciolto</w:t>
      </w:r>
      <w:r>
        <w:rPr>
          <w:rFonts w:ascii="Times New Roman" w:cs="Times New Roman" w:eastAsia="Times New Roman" w:hAnsi="Times New Roman"/>
          <w:sz w:val="24"/>
          <w:szCs w:val="24"/>
        </w:rPr>
        <w:t xml:space="preserve">, l'accertato. Il numero d'ordine è la promozione clandestina di uno stato all'altro. E l'apparato, che l'autore stesso ha scritto, la proibisce.</w:t>
      </w:r>
    </w:p>
    <w:p>
      <w:pPr>
        <w:pStyle w:val="Heading2"/>
        <w:spacing w:after="100" w:before="200"/>
      </w:pPr>
      <w:r>
        <w:rPr>
          <w:rFonts w:ascii="Times New Roman" w:cs="Times New Roman" w:eastAsia="Times New Roman" w:hAnsi="Times New Roman"/>
          <w:sz w:val="24"/>
          <w:szCs w:val="24"/>
        </w:rPr>
        <w:t xml:space="preserve">XII. L'obiezione, e la risposta</w:t>
      </w:r>
    </w:p>
    <w:p>
      <w:pPr>
        <w:spacing w:after="120" w:line="276"/>
        <w:jc w:val="both"/>
      </w:pPr>
      <w:r>
        <w:rPr>
          <w:rFonts w:ascii="Times New Roman" w:cs="Times New Roman" w:eastAsia="Times New Roman" w:hAnsi="Times New Roman"/>
          <w:sz w:val="24"/>
          <w:szCs w:val="24"/>
        </w:rPr>
        <w:t xml:space="preserve">Si dirà: ma allora ci si condanna al silenzio, e il silenzio ha coperto per quarant'anni proprio i colpevoli. L'obiezione è seria e merita risposta piena, perché in essa si annida la giustificazione di ogni scorciatoia.</w:t>
      </w:r>
    </w:p>
    <w:p>
      <w:pPr>
        <w:spacing w:after="120" w:line="276"/>
        <w:jc w:val="both"/>
      </w:pPr>
      <w:r>
        <w:rPr>
          <w:rFonts w:ascii="Times New Roman" w:cs="Times New Roman" w:eastAsia="Times New Roman" w:hAnsi="Times New Roman"/>
          <w:sz w:val="24"/>
          <w:szCs w:val="24"/>
        </w:rPr>
        <w:t xml:space="preserve">La risposta è che </w:t>
      </w:r>
      <w:r>
        <w:rPr>
          <w:rFonts w:ascii="Times New Roman" w:cs="Times New Roman" w:eastAsia="Times New Roman" w:hAnsi="Times New Roman"/>
          <w:b/>
          <w:bCs/>
          <w:sz w:val="24"/>
          <w:szCs w:val="24"/>
        </w:rPr>
        <w:t xml:space="preserve">fra il silenzio e la graduatoria esiste un terzo termine, ed è il lavoro</w:t>
      </w:r>
      <w:r>
        <w:rPr>
          <w:rFonts w:ascii="Times New Roman" w:cs="Times New Roman" w:eastAsia="Times New Roman" w:hAnsi="Times New Roman"/>
          <w:sz w:val="24"/>
          <w:szCs w:val="24"/>
        </w:rPr>
        <w:t xml:space="preserve">. Non tacere: indicare con precisione i vuoti, nominarli, dire dove il documento manca e quale documento manca, tenere il fascicolo aperto e la pressione alta perché quel documento venga desecretato o cercato. Questo non è silenzio: è il contrario del silenzio. È la voce che chiede prove invece di fabbricarle. La Commissione Fioroni, desecretando migliaia di atti, ha fatto avanzare la verità di Moro assai più di qualunque graduatoria mai compilata — perché ha lavorato al livello A, non al livello C. Ogni verità che sul caso Moro è emersa in quarant'anni è emersa da un fascicolo riaperto, mai da una classifica. Il silenzio non è ciò che questa parte propone; è, semmai, ciò che la graduatoria produce, perché una volta fatto il nome la ricerca si ferma, appagata, e il documento che avrebbe potuto provare o smentire non viene più cercato.</w:t>
      </w:r>
    </w:p>
    <w:p>
      <w:pPr>
        <w:pStyle w:val="Heading2"/>
        <w:spacing w:after="100" w:before="200"/>
      </w:pPr>
      <w:r>
        <w:rPr>
          <w:rFonts w:ascii="Times New Roman" w:cs="Times New Roman" w:eastAsia="Times New Roman" w:hAnsi="Times New Roman"/>
          <w:sz w:val="24"/>
          <w:szCs w:val="24"/>
        </w:rPr>
        <w:t xml:space="preserve">XIII. Che cosa resta da fare — e non è poco</w:t>
      </w:r>
    </w:p>
    <w:p>
      <w:pPr>
        <w:spacing w:after="120" w:line="276"/>
        <w:jc w:val="both"/>
      </w:pPr>
      <w:r>
        <w:rPr>
          <w:rFonts w:ascii="Times New Roman" w:cs="Times New Roman" w:eastAsia="Times New Roman" w:hAnsi="Times New Roman"/>
          <w:sz w:val="24"/>
          <w:szCs w:val="24"/>
        </w:rPr>
        <w:t xml:space="preserve">Rinunciare alla graduatoria non è rinunciare alla verità: è cercarla dove può essere trovata. Il lavoro che resta, e che sarebbe la vera continuazione dell'opera, non ha la forma della classifica ma quella dello scavo: la desecretazione integrale dei fondi ancora chiusi; il confronto sistematico fra le versioni delle Commissioni; la ricostruzione documentale — non congetturale — delle catene di custodia dei reperti, del memoriale, delle perizie balistiche di via Fani. È lavoro d'archivio, lento, ingrato, senza il lampo del nome fatto. Ma è il solo che, sul caso Moro, abbia mai spostato di un millimetro il confine fra il probabile e l'accertato.</w:t>
      </w:r>
    </w:p>
    <w:p>
      <w:pPr>
        <w:spacing w:after="120" w:line="276"/>
        <w:jc w:val="both"/>
      </w:pPr>
      <w:r>
        <w:rPr>
          <w:rFonts w:ascii="Times New Roman" w:cs="Times New Roman" w:eastAsia="Times New Roman" w:hAnsi="Times New Roman"/>
          <w:sz w:val="24"/>
          <w:szCs w:val="24"/>
        </w:rPr>
        <w:t xml:space="preserve">Questa è la macchia d'olio di cui parlava la parte prima, ripresa nel suo verso giusto: non l'allargarsi dell'ipotesi finché copre tutto, ma l'allargarsi paziente della zona accertata, un documento alla volta, contro la zona del buio.</w:t>
      </w:r>
    </w:p>
    <w:p>
      <w:pPr>
        <w:pStyle w:val="Heading2"/>
        <w:spacing w:after="100" w:before="200"/>
      </w:pPr>
      <w:r>
        <w:rPr>
          <w:rFonts w:ascii="Times New Roman" w:cs="Times New Roman" w:eastAsia="Times New Roman" w:hAnsi="Times New Roman"/>
          <w:sz w:val="24"/>
          <w:szCs w:val="24"/>
        </w:rPr>
        <w:t xml:space="preserve">XIV. Congedo — con l'epigrafe</w:t>
      </w:r>
    </w:p>
    <w:p>
      <w:pPr>
        <w:spacing w:after="120" w:line="276"/>
        <w:jc w:val="both"/>
      </w:pPr>
      <w:r>
        <w:rPr>
          <w:rFonts w:ascii="Times New Roman" w:cs="Times New Roman" w:eastAsia="Times New Roman" w:hAnsi="Times New Roman"/>
          <w:sz w:val="24"/>
          <w:szCs w:val="24"/>
        </w:rPr>
        <w:t xml:space="preserve">L'opera si apriva con un verso: «È l'ignoranza che crea la violenza». È giusto che si chiuda meditandolo, perché contiene, se lo si prende sul serio, la condanna di ogni scorciatoia.</w:t>
      </w:r>
    </w:p>
    <w:p>
      <w:pPr>
        <w:spacing w:after="120" w:line="276"/>
        <w:jc w:val="both"/>
      </w:pPr>
      <w:r>
        <w:rPr>
          <w:rFonts w:ascii="Times New Roman" w:cs="Times New Roman" w:eastAsia="Times New Roman" w:hAnsi="Times New Roman"/>
          <w:sz w:val="24"/>
          <w:szCs w:val="24"/>
        </w:rPr>
        <w:t xml:space="preserve">Se è l'ignoranza a creare la violenza, allora la risposta alla violenza non può essere un'altra forma d'ignoranza — e la certezza senza prova è una forma d'ignoranza, forse la più insidiosa, perché indossa l'abito della conoscenza. Attribuire un delitto a chi non è stato giudicato, per quanto se ne sia convinti, non riscatta la vittima: le aggiunge, in un certo senso, la propria — perché ripete, sul piano del giudizio, lo stesso gesto che si vorrebbe condannare, cioè la condanna senza processo. Moro, che era un giurista prima che un politico, e che dalla sua prigione continuò a invocare il diritto contro la ragion di Stato, sarebbe l'ultimo a volere che il suo nome giustificasse un tribunale del sospetto.</w:t>
      </w:r>
    </w:p>
    <w:p>
      <w:pPr>
        <w:spacing w:after="120" w:line="276"/>
        <w:jc w:val="both"/>
      </w:pPr>
      <w:r>
        <w:rPr>
          <w:rFonts w:ascii="Times New Roman" w:cs="Times New Roman" w:eastAsia="Times New Roman" w:hAnsi="Times New Roman"/>
          <w:sz w:val="24"/>
          <w:szCs w:val="24"/>
        </w:rPr>
        <w:t xml:space="preserve">La guerra fu senza fine non perché eterna, ma perché non ebbe un vincitore che le desse un senso: lasciò un uomo ucciso, uno Stato ferito, e una domanda che quarant'anni non hanno chiuso. La si onori come si onora una domanda vera: continuando a cercare, negli archivi e non nelle classifiche, e resistendo alla tentazione — dolce, e per questo pericolosa — di chiuderla con un nome. La verità, su Moro, verrà dai documenti o non verrà. E fino a quel giorno, la cosa più fedele che si possa fare alla sua memoria è tenere aperta la ricerca e chiusa la bocca sull'accusa che non si può provare.</w:t>
      </w:r>
    </w:p>
    <w:p>
      <w:pPr>
        <w:spacing w:after="120" w:line="276"/>
        <w:jc w:val="both"/>
      </w:pPr>
      <w:r>
        <w:rPr>
          <w:rFonts w:ascii="Times New Roman" w:cs="Times New Roman" w:eastAsia="Times New Roman" w:hAnsi="Times New Roman"/>
          <w:sz w:val="24"/>
          <w:szCs w:val="24"/>
        </w:rPr>
        <w:t xml:space="preserve">Qui l'autore di questa terza parte si congeda, lasciando l'opera dov'era: davanti a un fascicolo mai chiuso.</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Questa terza parte è una continuazione originale e non riproduce il testo dell'opera che la precede. Le uniche affermazioni presentate come fatti sono di Livello A (accertamento giudiziario e storiografico); tutto il resto è dichiarato probabile o possibile. Nessuna persona è qui indicata come responsabile di reato oltre quanto stabilito in via definitiva dalla giustizia. I riscontri fattuali (Commissione Fioroni 2014-2018; ritrovamenti di via Monte Nevoso 1978 e 1990; episodio di via Gradoli e della seduta spiritica; dinamica di via Fani) sono ancorati agli atti parlamentari e alla documentazione pubblica. Per gli aspetti che toccano persone viventi vale la disciplina di riservatezza dell'apparato Italia Nera.</w:t>
      </w:r>
    </w:p>
    <w:p>
      <w:r>
        <w:br w:type="page"/>
      </w:r>
    </w:p>
    <w:p>
      <w:pPr>
        <w:pStyle w:val="Heading1"/>
        <w:spacing w:after="120" w:before="240"/>
      </w:pPr>
      <w:r>
        <w:rPr>
          <w:rFonts w:ascii="Times New Roman" w:cs="Times New Roman" w:eastAsia="Times New Roman" w:hAnsi="Times New Roman"/>
          <w:sz w:val="24"/>
          <w:szCs w:val="24"/>
        </w:rPr>
        <w:t xml:space="preserve">Aldo Moro — Una guerra senza fine</w:t>
      </w:r>
    </w:p>
    <w:p>
      <w:pPr>
        <w:pStyle w:val="Heading2"/>
        <w:spacing w:after="100" w:before="200"/>
      </w:pPr>
      <w:r>
        <w:rPr>
          <w:rFonts w:ascii="Times New Roman" w:cs="Times New Roman" w:eastAsia="Times New Roman" w:hAnsi="Times New Roman"/>
          <w:sz w:val="24"/>
          <w:szCs w:val="24"/>
        </w:rPr>
        <w:t xml:space="preserve">Fase sesta — Il presidio del garante e l'apparato critico</w:t>
      </w:r>
    </w:p>
    <w:p>
      <w:pPr>
        <w:spacing w:after="120" w:line="276"/>
        <w:jc w:val="both"/>
      </w:pPr>
      <w:r>
        <w:rPr>
          <w:rFonts w:ascii="Times New Roman" w:cs="Times New Roman" w:eastAsia="Times New Roman" w:hAnsi="Times New Roman"/>
          <w:i/>
          <w:iCs/>
          <w:sz w:val="24"/>
          <w:szCs w:val="24"/>
        </w:rPr>
        <w:t xml:space="preserve">Continuazione — 24 agosto 2026 · Capitoli cinquantunesimo – cinquantacinquesimo</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 di questa fase.</w:t>
      </w:r>
      <w:r>
        <w:rPr>
          <w:rFonts w:ascii="Times New Roman" w:cs="Times New Roman" w:eastAsia="Times New Roman" w:hAnsi="Times New Roman"/>
          <w:i w:val="false"/>
          <w:iCs w:val="false"/>
          <w:sz w:val="24"/>
          <w:szCs w:val="24"/>
        </w:rPr>
        <w:t xml:space="preserve"> Questa è una </w:t>
      </w:r>
      <w:r>
        <w:rPr>
          <w:rFonts w:ascii="Times New Roman" w:cs="Times New Roman" w:eastAsia="Times New Roman" w:hAnsi="Times New Roman"/>
          <w:b/>
          <w:bCs/>
          <w:i w:val="false"/>
          <w:iCs w:val="false"/>
          <w:sz w:val="24"/>
          <w:szCs w:val="24"/>
        </w:rPr>
        <w:t xml:space="preserve">continuazione originale</w:t>
      </w:r>
      <w:r>
        <w:rPr>
          <w:rFonts w:ascii="Times New Roman" w:cs="Times New Roman" w:eastAsia="Times New Roman" w:hAnsi="Times New Roman"/>
          <w:i w:val="false"/>
          <w:iCs w:val="false"/>
          <w:sz w:val="24"/>
          <w:szCs w:val="24"/>
        </w:rPr>
        <w:t xml:space="preserve"> dell'edizione in cinquanta capitoli dell'opera «Aldo Moro — Una guerra senza fine». Ne prende spunto e ne prosegue il discorso; non ne riproduce il testo. Si aggiunge dopo il Congedo (capitolo cinquantesimo) non per contraddire l'opera ma per servire una sua promessa: quella, dichiarata nel capitolo primo, delle </w:t>
      </w:r>
      <w:r>
        <w:rPr>
          <w:rFonts w:ascii="Times New Roman" w:cs="Times New Roman" w:eastAsia="Times New Roman" w:hAnsi="Times New Roman"/>
          <w:b/>
          <w:bCs/>
          <w:i w:val="false"/>
          <w:iCs w:val="false"/>
          <w:sz w:val="24"/>
          <w:szCs w:val="24"/>
        </w:rPr>
        <w:t xml:space="preserve">quattro discipline</w:t>
      </w:r>
      <w:r>
        <w:rPr>
          <w:rFonts w:ascii="Times New Roman" w:cs="Times New Roman" w:eastAsia="Times New Roman" w:hAnsi="Times New Roman"/>
          <w:i w:val="false"/>
          <w:iCs w:val="false"/>
          <w:sz w:val="24"/>
          <w:szCs w:val="24"/>
        </w:rPr>
        <w:t xml:space="preserve"> — del grado, delle assenze, delle persone viventi, e della tracciabilità. Una promessa così esigente merita un apparato che la renda verificabile pagina per pagina; e merita, alla fine, un garante che vegli sul confine più delicato dell'opera, quello fra le sue prime quattro fasi e la quinta.  Questa fase non nomina alcuna persona come responsabile di reato oltre il giudicato definitivo. Ogni affermazione presentata come fatto è di Livello A. Il resto è dichiarato per ciò che è.</w:t>
      </w:r>
    </w:p>
    <w:p>
      <w:pPr>
        <w:pBdr>
          <w:bottom w:val="single" w:color="999999" w:sz="6" w:space="1"/>
        </w:pBdr>
        <w:spacing w:after="80"/>
      </w:pPr>
    </w:p>
    <w:p>
      <w:pPr>
        <w:pStyle w:val="Heading1"/>
        <w:spacing w:after="120" w:before="240"/>
      </w:pPr>
      <w:r>
        <w:rPr>
          <w:rFonts w:ascii="Times New Roman" w:cs="Times New Roman" w:eastAsia="Times New Roman" w:hAnsi="Times New Roman"/>
          <w:sz w:val="24"/>
          <w:szCs w:val="24"/>
        </w:rPr>
        <w:t xml:space="preserve">Capitolo cinquantunesimo — Perché un'opera che si vieta di imputare contiene una graduatoria: la tensione dichiarata</w:t>
      </w:r>
    </w:p>
    <w:p>
      <w:pPr>
        <w:spacing w:after="120" w:line="276"/>
        <w:jc w:val="both"/>
      </w:pPr>
      <w:r>
        <w:rPr>
          <w:rFonts w:ascii="Times New Roman" w:cs="Times New Roman" w:eastAsia="Times New Roman" w:hAnsi="Times New Roman"/>
          <w:sz w:val="24"/>
          <w:szCs w:val="24"/>
        </w:rPr>
        <w:t xml:space="preserve">Un lettore attento, giunto in fondo, si trova fra le mani una contraddizione apparente, e ha diritto che gliela si nomini invece di lasciarla implicita. Il capitolo primo dichiara, fra le quattro discipline, che l'opera «non imputa e anzi si vieta di imputare», e che delle persone viventi riferisce «esclusivamente fatti pubblici documentati». La Fase quinta, per contro, per scelta esplicita dell'autore, congeda il Pollo di Popper e costruisce una graduatoria di architetti, mandanti ed esecutori. Le due cose stanno nella stessa opera. Come si compongono?</w:t>
      </w:r>
    </w:p>
    <w:p>
      <w:pPr>
        <w:spacing w:after="120" w:line="276"/>
        <w:jc w:val="both"/>
      </w:pPr>
      <w:r>
        <w:rPr>
          <w:rFonts w:ascii="Times New Roman" w:cs="Times New Roman" w:eastAsia="Times New Roman" w:hAnsi="Times New Roman"/>
          <w:sz w:val="24"/>
          <w:szCs w:val="24"/>
        </w:rPr>
        <w:t xml:space="preserve">Si compongono, e la composizione è essa stessa una lezione di metodo, purché la si renda esplicita. La graduatoria della Fase quinta non è, nelle intenzioni dichiarate, un atto d'imputazione giudiziaria: è un </w:t>
      </w:r>
      <w:r>
        <w:rPr>
          <w:rFonts w:ascii="Times New Roman" w:cs="Times New Roman" w:eastAsia="Times New Roman" w:hAnsi="Times New Roman"/>
          <w:b/>
          <w:bCs/>
          <w:sz w:val="24"/>
          <w:szCs w:val="24"/>
        </w:rPr>
        <w:t xml:space="preserve">esercizio di probabilità storiografica dichiaratamente ipotetico</w:t>
      </w:r>
      <w:r>
        <w:rPr>
          <w:rFonts w:ascii="Times New Roman" w:cs="Times New Roman" w:eastAsia="Times New Roman" w:hAnsi="Times New Roman"/>
          <w:sz w:val="24"/>
          <w:szCs w:val="24"/>
        </w:rPr>
        <w:t xml:space="preserve">, che l'opera separa con un solco tipografico e concettuale dal corpo delle prime quattro fasi. Il patto che l'opera propone al lettore è: fino alla Fase quarta si cammina sul terreno del documentato e del suo perimetro negativo; dalla Fase quinta si entra, avvertiti, in una regione di congettura ordinata. È un patto legittimo, a una condizione — che il solco tenga. E il solco tiene solo se qualcuno lo presidia. Questa fase è il presidio.</w:t>
      </w:r>
    </w:p>
    <w:p>
      <w:pPr>
        <w:spacing w:after="120" w:line="276"/>
        <w:jc w:val="both"/>
      </w:pPr>
      <w:r>
        <w:rPr>
          <w:rFonts w:ascii="Times New Roman" w:cs="Times New Roman" w:eastAsia="Times New Roman" w:hAnsi="Times New Roman"/>
          <w:sz w:val="24"/>
          <w:szCs w:val="24"/>
        </w:rPr>
        <w:t xml:space="preserve">Il rischio, altrimenti, è quello che l'opera stessa, nel capitolo secondo, chiama immunizzazione: che la graduatoria, nata ipotetica, venga letta come conclusione, e che la premessa garantista — «questi sono i responsabili più probabili, non i responsabili accertati» — scivoli via nella memoria del lettore, lasciando i soli nomi. È un fenomeno noto e documentato della psicologia della lettura: la cornice si dimentica, il contenuto resta. Un'opera che nomina, anche in forma ipotetica, deve perciò fare i conti con il fatto che i suoi nomi vivranno più a lungo delle sue cautele. Questa è la ragione per cui il garante non è un ornamento morale ma una necessità strutturale: senza di lui, la Fase quinta cessa di essere ciò che dichiara di essere e diventa ciò che dichiara di non essere.</w:t>
      </w:r>
    </w:p>
    <w:p>
      <w:pPr>
        <w:pStyle w:val="Heading1"/>
        <w:spacing w:after="120" w:before="240"/>
      </w:pPr>
      <w:r>
        <w:rPr>
          <w:rFonts w:ascii="Times New Roman" w:cs="Times New Roman" w:eastAsia="Times New Roman" w:hAnsi="Times New Roman"/>
          <w:sz w:val="24"/>
          <w:szCs w:val="24"/>
        </w:rPr>
        <w:t xml:space="preserve">Capitolo cinquantaduesimo — Le quattro discipline, rese operative</w:t>
      </w:r>
    </w:p>
    <w:p>
      <w:pPr>
        <w:spacing w:after="120" w:line="276"/>
        <w:jc w:val="both"/>
      </w:pPr>
      <w:r>
        <w:rPr>
          <w:rFonts w:ascii="Times New Roman" w:cs="Times New Roman" w:eastAsia="Times New Roman" w:hAnsi="Times New Roman"/>
          <w:sz w:val="24"/>
          <w:szCs w:val="24"/>
        </w:rPr>
        <w:t xml:space="preserve">Le quattro discipline dichiarate nel capitolo primo sono principi; qui si rendono procedura, perché un principio che non diventa procedura è un proposito.</w:t>
      </w:r>
    </w:p>
    <w:p>
      <w:pPr>
        <w:spacing w:after="120" w:line="276"/>
        <w:jc w:val="both"/>
      </w:pPr>
      <w:r>
        <w:rPr>
          <w:rFonts w:ascii="Times New Roman" w:cs="Times New Roman" w:eastAsia="Times New Roman" w:hAnsi="Times New Roman"/>
          <w:b/>
          <w:bCs/>
          <w:sz w:val="24"/>
          <w:szCs w:val="24"/>
        </w:rPr>
        <w:t xml:space="preserve">La disciplina del grado.</w:t>
      </w:r>
      <w:r>
        <w:rPr>
          <w:rFonts w:ascii="Times New Roman" w:cs="Times New Roman" w:eastAsia="Times New Roman" w:hAnsi="Times New Roman"/>
          <w:sz w:val="24"/>
          <w:szCs w:val="24"/>
        </w:rPr>
        <w:t xml:space="preserve"> Ogni affermazione porta il proprio livello — A accertato, B probabile, C possibile. La procedura che la rende verificabile è una sola domanda, ripetuta senza eccezioni: </w:t>
      </w:r>
      <w:r>
        <w:rPr>
          <w:rFonts w:ascii="Times New Roman" w:cs="Times New Roman" w:eastAsia="Times New Roman" w:hAnsi="Times New Roman"/>
          <w:i/>
          <w:iCs/>
          <w:sz w:val="24"/>
          <w:szCs w:val="24"/>
        </w:rPr>
        <w:t xml:space="preserve">che cosa la ucciderebbe?</w:t>
      </w:r>
      <w:r>
        <w:rPr>
          <w:rFonts w:ascii="Times New Roman" w:cs="Times New Roman" w:eastAsia="Times New Roman" w:hAnsi="Times New Roman"/>
          <w:sz w:val="24"/>
          <w:szCs w:val="24"/>
        </w:rPr>
        <w:t xml:space="preserve"> Un'affermazione di Livello A è quella per cui la risposta esiste, è precisa, ed è stata cercata senza trovarla (la responsabilità brigatista del sequestro cadrebbe davanti a un documento coevo, esterno e autenticato che attesti l'eterodirezione: cercato, non trovato). Un'affermazione di Livello B è quella per cui la risposta esiste ed è precisa ma non è ancora stata cercata fino in fondo (la manipolazione del memoriale cadrebbe, o si confermerebbe, davanti alla catena di custodia integrale delle carte di via Monte Nevoso: parzialmente ricostruita). Un'affermazione di Livello C è quella per cui la risposta o non esiste — la proposizione non è falsificabile — o è irraggiungibile in via di principio. La disciplina del grado è, in fondo, la disciplina di questa domanda.</w:t>
      </w:r>
    </w:p>
    <w:p>
      <w:pPr>
        <w:spacing w:after="120" w:line="276"/>
        <w:jc w:val="both"/>
      </w:pPr>
      <w:r>
        <w:rPr>
          <w:rFonts w:ascii="Times New Roman" w:cs="Times New Roman" w:eastAsia="Times New Roman" w:hAnsi="Times New Roman"/>
          <w:b/>
          <w:bCs/>
          <w:sz w:val="24"/>
          <w:szCs w:val="24"/>
        </w:rPr>
        <w:t xml:space="preserve">La disciplina delle assenze.</w:t>
      </w:r>
      <w:r>
        <w:rPr>
          <w:rFonts w:ascii="Times New Roman" w:cs="Times New Roman" w:eastAsia="Times New Roman" w:hAnsi="Times New Roman"/>
          <w:sz w:val="24"/>
          <w:szCs w:val="24"/>
        </w:rPr>
        <w:t xml:space="preserve"> In questo campo la mappa dei vuoti vale quanto la mappa dei pieni. La procedura è il </w:t>
      </w:r>
      <w:r>
        <w:rPr>
          <w:rFonts w:ascii="Times New Roman" w:cs="Times New Roman" w:eastAsia="Times New Roman" w:hAnsi="Times New Roman"/>
          <w:b/>
          <w:bCs/>
          <w:sz w:val="24"/>
          <w:szCs w:val="24"/>
        </w:rPr>
        <w:t xml:space="preserve">perimetro negativo</w:t>
      </w:r>
      <w:r>
        <w:rPr>
          <w:rFonts w:ascii="Times New Roman" w:cs="Times New Roman" w:eastAsia="Times New Roman" w:hAnsi="Times New Roman"/>
          <w:sz w:val="24"/>
          <w:szCs w:val="24"/>
        </w:rPr>
        <w:t xml:space="preserve">: nominare esplicitamente ciò che si è cercato e non trovato — gli Stati Zero del capitolo trentanovesimo — con la stessa cura con cui si nomina ciò che si è trovato. Un'assenza dichiarata è un dato; un'assenza taciuta è una menzogna per omissione. Dire «non esiste, allo stato, alcun documento che provi X» è un'affermazione di Livello A sul mondo, non una reticenza: è la forma più onesta che la conoscenza può prendere di fronte al buio.</w:t>
      </w:r>
    </w:p>
    <w:p>
      <w:pPr>
        <w:spacing w:after="120" w:line="276"/>
        <w:jc w:val="both"/>
      </w:pPr>
      <w:r>
        <w:rPr>
          <w:rFonts w:ascii="Times New Roman" w:cs="Times New Roman" w:eastAsia="Times New Roman" w:hAnsi="Times New Roman"/>
          <w:b/>
          <w:bCs/>
          <w:sz w:val="24"/>
          <w:szCs w:val="24"/>
        </w:rPr>
        <w:t xml:space="preserve">La disciplina delle persone viventi.</w:t>
      </w:r>
      <w:r>
        <w:rPr>
          <w:rFonts w:ascii="Times New Roman" w:cs="Times New Roman" w:eastAsia="Times New Roman" w:hAnsi="Times New Roman"/>
          <w:sz w:val="24"/>
          <w:szCs w:val="24"/>
        </w:rPr>
        <w:t xml:space="preserve"> Di chi è in vita l'opera riferisce solo fatti pubblici documentati, atti giudiziari, dichiarazioni rese. La procedura è il </w:t>
      </w:r>
      <w:r>
        <w:rPr>
          <w:rFonts w:ascii="Times New Roman" w:cs="Times New Roman" w:eastAsia="Times New Roman" w:hAnsi="Times New Roman"/>
          <w:b/>
          <w:bCs/>
          <w:sz w:val="24"/>
          <w:szCs w:val="24"/>
        </w:rPr>
        <w:t xml:space="preserve">doppio filtro</w:t>
      </w:r>
      <w:r>
        <w:rPr>
          <w:rFonts w:ascii="Times New Roman" w:cs="Times New Roman" w:eastAsia="Times New Roman" w:hAnsi="Times New Roman"/>
          <w:sz w:val="24"/>
          <w:szCs w:val="24"/>
        </w:rPr>
        <w:t xml:space="preserve">: prima del nome, la domanda «questo fatto è pubblico e documentato?»; prima dell'attribuzione, la domanda «questa attribuzione è stata pronunciata da un giudice?». Se la seconda risposta è no, il nome può comparire solo come soggetto di fatti, mai come predicato di colpe. È il filtro che separa la cronaca dalla calunnia, e vale doppio nella Fase quinta, dove la tentazione è massima.</w:t>
      </w:r>
    </w:p>
    <w:p>
      <w:pPr>
        <w:spacing w:after="120" w:line="276"/>
        <w:jc w:val="both"/>
      </w:pPr>
      <w:r>
        <w:rPr>
          <w:rFonts w:ascii="Times New Roman" w:cs="Times New Roman" w:eastAsia="Times New Roman" w:hAnsi="Times New Roman"/>
          <w:b/>
          <w:bCs/>
          <w:sz w:val="24"/>
          <w:szCs w:val="24"/>
        </w:rPr>
        <w:t xml:space="preserve">La disciplina della tracciabilità.</w:t>
      </w:r>
      <w:r>
        <w:rPr>
          <w:rFonts w:ascii="Times New Roman" w:cs="Times New Roman" w:eastAsia="Times New Roman" w:hAnsi="Times New Roman"/>
          <w:sz w:val="24"/>
          <w:szCs w:val="24"/>
        </w:rPr>
        <w:t xml:space="preserve"> Ogni affermazione dichiara la propria fonte e il proprio grado, così che il lettore possa rifare il cammino. La procedura è l'apparato critico — quello che segue nel capitolo cinquantaquattresimo — che rende la promessa un indice consultabile e non una dichiarazione d'intenti.</w:t>
      </w:r>
    </w:p>
    <w:p>
      <w:pPr>
        <w:pStyle w:val="Heading1"/>
        <w:spacing w:after="120" w:before="240"/>
      </w:pPr>
      <w:r>
        <w:rPr>
          <w:rFonts w:ascii="Times New Roman" w:cs="Times New Roman" w:eastAsia="Times New Roman" w:hAnsi="Times New Roman"/>
          <w:sz w:val="24"/>
          <w:szCs w:val="24"/>
        </w:rPr>
        <w:t xml:space="preserve">Capitolo cinquantatreesimo — Il confine, di nuovo: che cosa distingue la Fase quinta dalle prime quattro</w:t>
      </w:r>
    </w:p>
    <w:p>
      <w:pPr>
        <w:spacing w:after="120" w:line="276"/>
        <w:jc w:val="both"/>
      </w:pPr>
      <w:r>
        <w:rPr>
          <w:rFonts w:ascii="Times New Roman" w:cs="Times New Roman" w:eastAsia="Times New Roman" w:hAnsi="Times New Roman"/>
          <w:sz w:val="24"/>
          <w:szCs w:val="24"/>
        </w:rPr>
        <w:t xml:space="preserve">Il capitolo quarantesimo dell'opera si intitola «dove il Pollo di Popper si arresta». Vale la pena dire, con la massima precisione di cui si è capaci, che cosa accade a quel confine, perché è il punto su cui l'intera onestà dell'opera si gioca.</w:t>
      </w:r>
    </w:p>
    <w:p>
      <w:pPr>
        <w:spacing w:after="120" w:line="276"/>
        <w:jc w:val="both"/>
      </w:pPr>
      <w:r>
        <w:rPr>
          <w:rFonts w:ascii="Times New Roman" w:cs="Times New Roman" w:eastAsia="Times New Roman" w:hAnsi="Times New Roman"/>
          <w:sz w:val="24"/>
          <w:szCs w:val="24"/>
        </w:rPr>
        <w:t xml:space="preserve">Nelle prime quattro fasi l'opera fa una cosa sola: </w:t>
      </w:r>
      <w:r>
        <w:rPr>
          <w:rFonts w:ascii="Times New Roman" w:cs="Times New Roman" w:eastAsia="Times New Roman" w:hAnsi="Times New Roman"/>
          <w:b/>
          <w:bCs/>
          <w:sz w:val="24"/>
          <w:szCs w:val="24"/>
        </w:rPr>
        <w:t xml:space="preserve">stabilisce che cosa è accertato e recinta ciò che non lo è</w:t>
      </w:r>
      <w:r>
        <w:rPr>
          <w:rFonts w:ascii="Times New Roman" w:cs="Times New Roman" w:eastAsia="Times New Roman" w:hAnsi="Times New Roman"/>
          <w:sz w:val="24"/>
          <w:szCs w:val="24"/>
        </w:rPr>
        <w:t xml:space="preserve">. Dice: il sequestro e l'omicidio furono opera delle Brigate Rosse (A); vi furono omissioni e depistaggi documentati (A); la manipolazione del memoriale è probabile (B); il movente internazionale è documentato come contesto (A) e non come catena di comando (C, anzi Stato Zero quanto al mandato provato). È un lavoro di </w:t>
      </w:r>
      <w:r>
        <w:rPr>
          <w:rFonts w:ascii="Times New Roman" w:cs="Times New Roman" w:eastAsia="Times New Roman" w:hAnsi="Times New Roman"/>
          <w:i/>
          <w:iCs/>
          <w:sz w:val="24"/>
          <w:szCs w:val="24"/>
        </w:rPr>
        <w:t xml:space="preserve">delimitazione</w:t>
      </w:r>
      <w:r>
        <w:rPr>
          <w:rFonts w:ascii="Times New Roman" w:cs="Times New Roman" w:eastAsia="Times New Roman" w:hAnsi="Times New Roman"/>
          <w:sz w:val="24"/>
          <w:szCs w:val="24"/>
        </w:rPr>
        <w:t xml:space="preserve">: traccia la linea di costa fra la terra ferma del provato e il mare del non provato, e la traccia con onestà, chiamando mare il mare.</w:t>
      </w:r>
    </w:p>
    <w:p>
      <w:pPr>
        <w:spacing w:after="120" w:line="276"/>
        <w:jc w:val="both"/>
      </w:pPr>
      <w:r>
        <w:rPr>
          <w:rFonts w:ascii="Times New Roman" w:cs="Times New Roman" w:eastAsia="Times New Roman" w:hAnsi="Times New Roman"/>
          <w:sz w:val="24"/>
          <w:szCs w:val="24"/>
        </w:rPr>
        <w:t xml:space="preserve">Nella Fase quinta l'opera fa una cosa diversa: </w:t>
      </w:r>
      <w:r>
        <w:rPr>
          <w:rFonts w:ascii="Times New Roman" w:cs="Times New Roman" w:eastAsia="Times New Roman" w:hAnsi="Times New Roman"/>
          <w:b/>
          <w:bCs/>
          <w:sz w:val="24"/>
          <w:szCs w:val="24"/>
        </w:rPr>
        <w:t xml:space="preserve">naviga il mare</w:t>
      </w:r>
      <w:r>
        <w:rPr>
          <w:rFonts w:ascii="Times New Roman" w:cs="Times New Roman" w:eastAsia="Times New Roman" w:hAnsi="Times New Roman"/>
          <w:sz w:val="24"/>
          <w:szCs w:val="24"/>
        </w:rPr>
        <w:t xml:space="preserve">. Prende le ipotesi che nelle prime quattro fasi stavano allo stato del possibile, e le ordina per verosimiglianza con dieci strumenti di calcolo. È navigazione, non più cartografia della costa. E la navigazione, per quanto esperta, non produce terra ferma: produce rotte più o meno plausibili sopra un fondale che resta acqua. Il garante veglia esattamente su questo: che il lettore non scambi la rotta per la costa, la verosimiglianza per la prova, l'ordinale della graduatoria per un verdetto. La premessa garantista della Fase quinta è la carta nautica che dichiara «qui il fondale è mare»; il presidio consiste nel non lasciarla cadere.</w:t>
      </w:r>
    </w:p>
    <w:p>
      <w:pPr>
        <w:spacing w:after="120" w:line="276"/>
        <w:jc w:val="both"/>
      </w:pPr>
      <w:r>
        <w:rPr>
          <w:rFonts w:ascii="Times New Roman" w:cs="Times New Roman" w:eastAsia="Times New Roman" w:hAnsi="Times New Roman"/>
          <w:sz w:val="24"/>
          <w:szCs w:val="24"/>
        </w:rPr>
        <w:t xml:space="preserve">Detto altrimenti, e in termini dell'apparato che governa il lavoro maggiore da cui l'opera discende: le prime quattro fasi lavorano allo stato dello </w:t>
      </w:r>
      <w:r>
        <w:rPr>
          <w:rFonts w:ascii="Times New Roman" w:cs="Times New Roman" w:eastAsia="Times New Roman" w:hAnsi="Times New Roman"/>
          <w:i/>
          <w:iCs/>
          <w:sz w:val="24"/>
          <w:szCs w:val="24"/>
        </w:rPr>
        <w:t xml:space="preserve">sciolto</w:t>
      </w:r>
      <w:r>
        <w:rPr>
          <w:rFonts w:ascii="Times New Roman" w:cs="Times New Roman" w:eastAsia="Times New Roman" w:hAnsi="Times New Roman"/>
          <w:sz w:val="24"/>
          <w:szCs w:val="24"/>
        </w:rPr>
        <w:t xml:space="preserve"> e del </w:t>
      </w:r>
      <w:r>
        <w:rPr>
          <w:rFonts w:ascii="Times New Roman" w:cs="Times New Roman" w:eastAsia="Times New Roman" w:hAnsi="Times New Roman"/>
          <w:i/>
          <w:iCs/>
          <w:sz w:val="24"/>
          <w:szCs w:val="24"/>
        </w:rPr>
        <w:t xml:space="preserve">dubbio</w:t>
      </w:r>
      <w:r>
        <w:rPr>
          <w:rFonts w:ascii="Times New Roman" w:cs="Times New Roman" w:eastAsia="Times New Roman" w:hAnsi="Times New Roman"/>
          <w:sz w:val="24"/>
          <w:szCs w:val="24"/>
        </w:rPr>
        <w:t xml:space="preserve">; la Fase quinta lavora nel dubbio ma lo dispone in ordine, e l'ordine — è questa la sola avvertenza che conti — </w:t>
      </w:r>
      <w:r>
        <w:rPr>
          <w:rFonts w:ascii="Times New Roman" w:cs="Times New Roman" w:eastAsia="Times New Roman" w:hAnsi="Times New Roman"/>
          <w:b/>
          <w:bCs/>
          <w:sz w:val="24"/>
          <w:szCs w:val="24"/>
        </w:rPr>
        <w:t xml:space="preserve">non promuove il dubbio ad accertato</w:t>
      </w:r>
      <w:r>
        <w:rPr>
          <w:rFonts w:ascii="Times New Roman" w:cs="Times New Roman" w:eastAsia="Times New Roman" w:hAnsi="Times New Roman"/>
          <w:sz w:val="24"/>
          <w:szCs w:val="24"/>
        </w:rPr>
        <w:t xml:space="preserve">. Un sospetto messo al primo posto resta un sospetto: ha soltanto un numero accanto. Il numero è un aiuto alla riflessione, non un grado di prova. Chi legge il numero come prova ha infranto il patto; chi lo scrive facendo di tutto perché sia letto come prova ha infranto qualcosa di più.</w:t>
      </w:r>
    </w:p>
    <w:p>
      <w:pPr>
        <w:pStyle w:val="Heading1"/>
        <w:spacing w:after="120" w:before="240"/>
      </w:pPr>
      <w:r>
        <w:rPr>
          <w:rFonts w:ascii="Times New Roman" w:cs="Times New Roman" w:eastAsia="Times New Roman" w:hAnsi="Times New Roman"/>
          <w:sz w:val="24"/>
          <w:szCs w:val="24"/>
        </w:rPr>
        <w:t xml:space="preserve">Capitolo cinquantaquattresimo — L'apparato critico: la mappa dei gradi</w:t>
      </w:r>
    </w:p>
    <w:p>
      <w:pPr>
        <w:spacing w:after="120" w:line="276"/>
        <w:jc w:val="both"/>
      </w:pPr>
      <w:r>
        <w:rPr>
          <w:rFonts w:ascii="Times New Roman" w:cs="Times New Roman" w:eastAsia="Times New Roman" w:hAnsi="Times New Roman"/>
          <w:sz w:val="24"/>
          <w:szCs w:val="24"/>
        </w:rPr>
        <w:t xml:space="preserve">La disciplina della tracciabilità chiede un apparato. Eccolo, nella forma che l'opera consente: non una nota a piè di pagina per ciascuna riga — sarebbe illeggibile — ma una </w:t>
      </w:r>
      <w:r>
        <w:rPr>
          <w:rFonts w:ascii="Times New Roman" w:cs="Times New Roman" w:eastAsia="Times New Roman" w:hAnsi="Times New Roman"/>
          <w:b/>
          <w:bCs/>
          <w:sz w:val="24"/>
          <w:szCs w:val="24"/>
        </w:rPr>
        <w:t xml:space="preserve">mappa dei gradi</w:t>
      </w:r>
      <w:r>
        <w:rPr>
          <w:rFonts w:ascii="Times New Roman" w:cs="Times New Roman" w:eastAsia="Times New Roman" w:hAnsi="Times New Roman"/>
          <w:sz w:val="24"/>
          <w:szCs w:val="24"/>
        </w:rPr>
        <w:t xml:space="preserve"> che dichiara, per i nodi maggiori dell'intera opera, a quale livello ciascuno sta e quale documento lo terrebbe o lo abbatterebbe. È l'indice che rende le quattro discipline verificabili.</w:t>
      </w:r>
    </w:p>
    <w:p>
      <w:pPr>
        <w:spacing w:after="120" w:line="276"/>
        <w:jc w:val="both"/>
      </w:pPr>
      <w:r>
        <w:rPr>
          <w:rFonts w:ascii="Times New Roman" w:cs="Times New Roman" w:eastAsia="Times New Roman" w:hAnsi="Times New Roman"/>
          <w:b/>
          <w:bCs/>
          <w:sz w:val="24"/>
          <w:szCs w:val="24"/>
        </w:rPr>
        <w:t xml:space="preserve">Livello A — accertato (ciò che regge in giudizio e alla storiografia concorde).</w:t>
      </w:r>
      <w:r>
        <w:rPr>
          <w:rFonts w:ascii="Times New Roman" w:cs="Times New Roman" w:eastAsia="Times New Roman" w:hAnsi="Times New Roman"/>
          <w:sz w:val="24"/>
          <w:szCs w:val="24"/>
        </w:rPr>
        <w:t xml:space="preserve"> La responsabilità delle Brigate Rosse per l'agguato di via Fani, il sequestro e l'omicidio (cinque processi definitivi). L'identità dei cinque caduti della scorta. La prigionia e la sua durata. La redazione del carteggio dalla prigionia. La scelta politica della linea della fermezza. Il ritrovamento di via Gradoli il 18 aprile 1978 in seguito all'allagamento. Il doppio ritrovamento del memoriale a via Monte Nevoso (1978 e 1990). L'esistenza di omissioni, ritardi e depistaggi documentati dalle Commissioni. La formula della «verità dicibile» come conclusione della Commissione Fioroni. </w:t>
      </w:r>
      <w:r>
        <w:rPr>
          <w:rFonts w:ascii="Times New Roman" w:cs="Times New Roman" w:eastAsia="Times New Roman" w:hAnsi="Times New Roman"/>
          <w:i/>
          <w:iCs/>
          <w:sz w:val="24"/>
          <w:szCs w:val="24"/>
        </w:rPr>
        <w:t xml:space="preserve">Ciò che abbatterebbe uno di questi nodi:</w:t>
      </w:r>
      <w:r>
        <w:rPr>
          <w:rFonts w:ascii="Times New Roman" w:cs="Times New Roman" w:eastAsia="Times New Roman" w:hAnsi="Times New Roman"/>
          <w:sz w:val="24"/>
          <w:szCs w:val="24"/>
        </w:rPr>
        <w:t xml:space="preserve"> un documento coevo, esterno e autenticato di segno contrario — cercato, non trovato.</w:t>
      </w:r>
    </w:p>
    <w:p>
      <w:pPr>
        <w:spacing w:after="120" w:line="276"/>
        <w:jc w:val="both"/>
      </w:pPr>
      <w:r>
        <w:rPr>
          <w:rFonts w:ascii="Times New Roman" w:cs="Times New Roman" w:eastAsia="Times New Roman" w:hAnsi="Times New Roman"/>
          <w:b/>
          <w:bCs/>
          <w:sz w:val="24"/>
          <w:szCs w:val="24"/>
        </w:rPr>
        <w:t xml:space="preserve">Livello B — probabile (indizi seri, prova non piena).</w:t>
      </w:r>
      <w:r>
        <w:rPr>
          <w:rFonts w:ascii="Times New Roman" w:cs="Times New Roman" w:eastAsia="Times New Roman" w:hAnsi="Times New Roman"/>
          <w:sz w:val="24"/>
          <w:szCs w:val="24"/>
        </w:rPr>
        <w:t xml:space="preserve"> La manipolazione o l'incompletezza deliberata della prima versione del memoriale. Il carattere non del tutto sincero di alcune aperture di trattativa. La rilevanza operativa di singole omissioni oltre la soglia della mera inefficienza. </w:t>
      </w:r>
      <w:r>
        <w:rPr>
          <w:rFonts w:ascii="Times New Roman" w:cs="Times New Roman" w:eastAsia="Times New Roman" w:hAnsi="Times New Roman"/>
          <w:i/>
          <w:iCs/>
          <w:sz w:val="24"/>
          <w:szCs w:val="24"/>
        </w:rPr>
        <w:t xml:space="preserve">Ciò che li muoverebbe verso A o verso C:</w:t>
      </w:r>
      <w:r>
        <w:rPr>
          <w:rFonts w:ascii="Times New Roman" w:cs="Times New Roman" w:eastAsia="Times New Roman" w:hAnsi="Times New Roman"/>
          <w:sz w:val="24"/>
          <w:szCs w:val="24"/>
        </w:rPr>
        <w:t xml:space="preserve"> per il memoriale, la catena di custodia integrale delle carte; per le trattative, gli atti riservati dei canali; per le omissioni, il collegamento documentato fra una specifica ostruzione e una specifica direttiva.</w:t>
      </w:r>
    </w:p>
    <w:p>
      <w:pPr>
        <w:spacing w:after="120" w:line="276"/>
        <w:jc w:val="both"/>
      </w:pPr>
      <w:r>
        <w:rPr>
          <w:rFonts w:ascii="Times New Roman" w:cs="Times New Roman" w:eastAsia="Times New Roman" w:hAnsi="Times New Roman"/>
          <w:b/>
          <w:bCs/>
          <w:sz w:val="24"/>
          <w:szCs w:val="24"/>
        </w:rPr>
        <w:t xml:space="preserve">Livello C — possibile (compatibile coi fatti, senza prova propria).</w:t>
      </w:r>
      <w:r>
        <w:rPr>
          <w:rFonts w:ascii="Times New Roman" w:cs="Times New Roman" w:eastAsia="Times New Roman" w:hAnsi="Times New Roman"/>
          <w:sz w:val="24"/>
          <w:szCs w:val="24"/>
        </w:rPr>
        <w:t xml:space="preserve"> Le prigioni alternative o ulteriori. La lettura non innocente dell'episodio di via Gradoli e della seduta spiritica. Le regie internazionali del sequestro come catena di comando. Il mandato esterno alle Brigate Rosse. </w:t>
      </w:r>
      <w:r>
        <w:rPr>
          <w:rFonts w:ascii="Times New Roman" w:cs="Times New Roman" w:eastAsia="Times New Roman" w:hAnsi="Times New Roman"/>
          <w:i/>
          <w:iCs/>
          <w:sz w:val="24"/>
          <w:szCs w:val="24"/>
        </w:rPr>
        <w:t xml:space="preserve">Ciò che li promuoverebbe:</w:t>
      </w:r>
      <w:r>
        <w:rPr>
          <w:rFonts w:ascii="Times New Roman" w:cs="Times New Roman" w:eastAsia="Times New Roman" w:hAnsi="Times New Roman"/>
          <w:sz w:val="24"/>
          <w:szCs w:val="24"/>
        </w:rPr>
        <w:t xml:space="preserve"> per ciascuno, un documento che oggi non esiste; ed è per questo che restano possibili e non probabili.</w:t>
      </w:r>
    </w:p>
    <w:p>
      <w:pPr>
        <w:spacing w:after="120" w:line="276"/>
        <w:jc w:val="both"/>
      </w:pPr>
      <w:r>
        <w:rPr>
          <w:rFonts w:ascii="Times New Roman" w:cs="Times New Roman" w:eastAsia="Times New Roman" w:hAnsi="Times New Roman"/>
          <w:b/>
          <w:bCs/>
          <w:sz w:val="24"/>
          <w:szCs w:val="24"/>
        </w:rPr>
        <w:t xml:space="preserve">Stato Zero — cercato e non trovato (il perimetro negativo, capitolo trentanovesimo).</w:t>
      </w:r>
      <w:r>
        <w:rPr>
          <w:rFonts w:ascii="Times New Roman" w:cs="Times New Roman" w:eastAsia="Times New Roman" w:hAnsi="Times New Roman"/>
          <w:sz w:val="24"/>
          <w:szCs w:val="24"/>
        </w:rPr>
        <w:t xml:space="preserve"> Il documento che provi l'eterodirezione del sequestro. Il documento che leghi Kissinger-persona, o qualunque apparato straniero nominato, alla catena di comando del delitto. Il documento che provi l'isomorfismo fra le reti anticomuniste evocate e la struttura operativa del sequestro. Questi non sono dubbi: sono ricerche condotte e chiuse in negativo, e vanno dichiarate con la stessa forza dei Livelli A, perché un'assenza accertata è essa stessa una conoscenza.</w:t>
      </w:r>
    </w:p>
    <w:p>
      <w:pPr>
        <w:spacing w:after="120" w:line="276"/>
        <w:jc w:val="both"/>
      </w:pPr>
      <w:r>
        <w:rPr>
          <w:rFonts w:ascii="Times New Roman" w:cs="Times New Roman" w:eastAsia="Times New Roman" w:hAnsi="Times New Roman"/>
          <w:sz w:val="24"/>
          <w:szCs w:val="24"/>
        </w:rPr>
        <w:t xml:space="preserve">Questa mappa non chiude il caso. Fa una cosa più modesta e più utile: consente al lettore di sapere, in ogni punto dell'opera, su che cosa poggia i piedi. È la forma minuta dell'onestà, ed è l'unica che, in questa materia, non tradisca.</w:t>
      </w:r>
    </w:p>
    <w:p>
      <w:pPr>
        <w:pStyle w:val="Heading1"/>
        <w:spacing w:after="120" w:before="240"/>
      </w:pPr>
      <w:r>
        <w:rPr>
          <w:rFonts w:ascii="Times New Roman" w:cs="Times New Roman" w:eastAsia="Times New Roman" w:hAnsi="Times New Roman"/>
          <w:sz w:val="24"/>
          <w:szCs w:val="24"/>
        </w:rPr>
        <w:t xml:space="preserve">Capitolo cinquantacinquesimo — Congedo del garante</w:t>
      </w:r>
    </w:p>
    <w:p>
      <w:pPr>
        <w:spacing w:after="120" w:line="276"/>
        <w:jc w:val="both"/>
      </w:pPr>
      <w:r>
        <w:rPr>
          <w:rFonts w:ascii="Times New Roman" w:cs="Times New Roman" w:eastAsia="Times New Roman" w:hAnsi="Times New Roman"/>
          <w:sz w:val="24"/>
          <w:szCs w:val="24"/>
        </w:rPr>
        <w:t xml:space="preserve">L'opera aveva già il suo congedo, al capitolo cinquantesimo. Questo è il congedo di chi è venuto dopo per vegliare sul confine, e sarà breve, perché il garante che parla troppo tradisce la propria funzione.</w:t>
      </w:r>
    </w:p>
    <w:p>
      <w:pPr>
        <w:spacing w:after="120" w:line="276"/>
        <w:jc w:val="both"/>
      </w:pPr>
      <w:r>
        <w:rPr>
          <w:rFonts w:ascii="Times New Roman" w:cs="Times New Roman" w:eastAsia="Times New Roman" w:hAnsi="Times New Roman"/>
          <w:sz w:val="24"/>
          <w:szCs w:val="24"/>
        </w:rPr>
        <w:t xml:space="preserve">Si è detto, all'inizio di questa fase, che i nomi vivono più a lungo delle cautele. È la ragione per cui esiste, nel diritto e nella civiltà che ne discende, la presunzione d'innocenza: non perché si creda innocenti tutti, ma perché si sa che il marchio, una volta impresso fuori dal processo, non ha chi lo tolga. Un'opera che tratti il caso Moro con l'onestà che questa dichiara e in gran parte pratica ha, verso questa verità, un dovere particolare — perché il caso Moro è, fra le altre cose, la storia di ciò che accade quando la ragion di Stato si arroga il diritto di decidere della vita di un uomo fuori dalle regole. Ripetere quel gesto sul piano del giudizio storico, condannando fuori dal processo, sarebbe la più involontaria e la più amara delle ironie.</w:t>
      </w:r>
    </w:p>
    <w:p>
      <w:pPr>
        <w:spacing w:after="120" w:line="276"/>
        <w:jc w:val="both"/>
      </w:pPr>
      <w:r>
        <w:rPr>
          <w:rFonts w:ascii="Times New Roman" w:cs="Times New Roman" w:eastAsia="Times New Roman" w:hAnsi="Times New Roman"/>
          <w:sz w:val="24"/>
          <w:szCs w:val="24"/>
        </w:rPr>
        <w:t xml:space="preserve">L'epigrafe dell'opera dice che è l'ignoranza a creare la violenza. Il garante aggiunge, congedandosi, la sola postilla che gli competa: che anche la certezza senza prova è una forma d'ignoranza, e che la disciplina del dubbio — tenere il fascicolo aperto, dichiarare i gradi, nominare le assenze, rispettare i viventi — non è debolezza della conoscenza ma la sua forma adulta. L'opera che si è letta ha cinquanta capitoli e una vasta ambizione; il garante le chiede una cosa sola, e gliela lascia come si lascia un testimone: che il solco fra le sue prime quattro fasi e la quinta resti visibile a chiunque, per sempre, e che nessun lettore possa mai, in buona fede, scambiare una rotta tracciata sull'acqua per la terra ferma su cui l'opera, nella sua parte migliore, ha davvero camminato.</w:t>
      </w:r>
    </w:p>
    <w:p>
      <w:pPr>
        <w:spacing w:after="120" w:line="276"/>
        <w:jc w:val="both"/>
      </w:pPr>
      <w:r>
        <w:rPr>
          <w:rFonts w:ascii="Times New Roman" w:cs="Times New Roman" w:eastAsia="Times New Roman" w:hAnsi="Times New Roman"/>
          <w:sz w:val="24"/>
          <w:szCs w:val="24"/>
        </w:rPr>
        <w:t xml:space="preserve">Qui il garante si congeda. Il fascicolo, come deve, resta aperto.</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Fase sesta dell'opera «Aldo Moro — Una guerra senza fine», continuazione originale dell'edizione in cinquanta capitoli. Non riproduce il testo dell'opera e non nomina alcuna persona come responsabile di reato oltre il giudicato definitivo. Le affermazioni presentate come fatti sono di Livello A; il resto è dichiarato probabile, possibile o Stato Zero. I riscontri (Commissione Fioroni; ritrovamenti di via Monte Nevoso 1978 e 1990; via Gradoli; dinamica di via Fani) sono ancorati agli atti parlamentari e alla documentazione pubblica. Per gli aspetti che toccano persone viventi vale la disciplina di riservatezza dell'apparato Italia Nera.</w:t>
      </w:r>
    </w:p>
    <w:p>
      <w:r>
        <w:br w:type="page"/>
      </w:r>
    </w:p>
    <w:p>
      <w:pPr>
        <w:pStyle w:val="Heading1"/>
        <w:spacing w:after="120" w:before="240"/>
      </w:pPr>
      <w:r>
        <w:rPr>
          <w:rFonts w:ascii="Times New Roman" w:cs="Times New Roman" w:eastAsia="Times New Roman" w:hAnsi="Times New Roman"/>
          <w:sz w:val="24"/>
          <w:szCs w:val="24"/>
        </w:rPr>
        <w:t xml:space="preserve">Aldo Moro — Una guerra senza fine</w:t>
      </w:r>
    </w:p>
    <w:p>
      <w:pPr>
        <w:pStyle w:val="Heading2"/>
        <w:spacing w:after="100" w:before="200"/>
      </w:pPr>
      <w:r>
        <w:rPr>
          <w:rFonts w:ascii="Times New Roman" w:cs="Times New Roman" w:eastAsia="Times New Roman" w:hAnsi="Times New Roman"/>
          <w:sz w:val="24"/>
          <w:szCs w:val="24"/>
        </w:rPr>
        <w:t xml:space="preserve">Apparato dei gradi — indice analitico dell'edizione in cinquanta capitoli</w:t>
      </w:r>
    </w:p>
    <w:p>
      <w:pPr>
        <w:spacing w:after="120" w:line="276"/>
        <w:jc w:val="both"/>
      </w:pPr>
      <w:r>
        <w:rPr>
          <w:rFonts w:ascii="Times New Roman" w:cs="Times New Roman" w:eastAsia="Times New Roman" w:hAnsi="Times New Roman"/>
          <w:i/>
          <w:iCs/>
          <w:sz w:val="24"/>
          <w:szCs w:val="24"/>
        </w:rPr>
        <w:t xml:space="preserve">Continuazione — 24 agosto 2026 · Complemento alla Fase sesta (capitolo cinquantaquattresimo: la mappa dei gradi)</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Che cos'è questo apparato.</w:t>
      </w:r>
      <w:r>
        <w:rPr>
          <w:rFonts w:ascii="Times New Roman" w:cs="Times New Roman" w:eastAsia="Times New Roman" w:hAnsi="Times New Roman"/>
          <w:i w:val="false"/>
          <w:iCs w:val="false"/>
          <w:sz w:val="24"/>
          <w:szCs w:val="24"/>
        </w:rPr>
        <w:t xml:space="preserve"> La quarta disciplina dell'opera — la tracciabilità — chiede che ogni affermazione dichiari il proprio grado, così che il lettore possa rifare il cammino. Questo apparato assolve la promessa capitolo per capitolo: per ciascuno dei cinquanta capitoli registra </w:t>
      </w:r>
      <w:r>
        <w:rPr>
          <w:rFonts w:ascii="Times New Roman" w:cs="Times New Roman" w:eastAsia="Times New Roman" w:hAnsi="Times New Roman"/>
          <w:b/>
          <w:bCs/>
          <w:i w:val="false"/>
          <w:iCs w:val="false"/>
          <w:sz w:val="24"/>
          <w:szCs w:val="24"/>
        </w:rPr>
        <w:t xml:space="preserve">l'asserzione portante</w:t>
      </w:r>
      <w:r>
        <w:rPr>
          <w:rFonts w:ascii="Times New Roman" w:cs="Times New Roman" w:eastAsia="Times New Roman" w:hAnsi="Times New Roman"/>
          <w:i w:val="false"/>
          <w:iCs w:val="false"/>
          <w:sz w:val="24"/>
          <w:szCs w:val="24"/>
        </w:rPr>
        <w:t xml:space="preserve">, il </w:t>
      </w:r>
      <w:r>
        <w:rPr>
          <w:rFonts w:ascii="Times New Roman" w:cs="Times New Roman" w:eastAsia="Times New Roman" w:hAnsi="Times New Roman"/>
          <w:b/>
          <w:bCs/>
          <w:i w:val="false"/>
          <w:iCs w:val="false"/>
          <w:sz w:val="24"/>
          <w:szCs w:val="24"/>
        </w:rPr>
        <w:t xml:space="preserve">grado prevalente</w:t>
      </w:r>
      <w:r>
        <w:rPr>
          <w:rFonts w:ascii="Times New Roman" w:cs="Times New Roman" w:eastAsia="Times New Roman" w:hAnsi="Times New Roman"/>
          <w:i w:val="false"/>
          <w:iCs w:val="false"/>
          <w:sz w:val="24"/>
          <w:szCs w:val="24"/>
        </w:rPr>
        <w:t xml:space="preserve"> (A accertato · B probabile · C possibile · Ø Stato Zero · M capitolo di metodo, senza grado fattuale) e — la domanda del Pollo di Popper — </w:t>
      </w:r>
      <w:r>
        <w:rPr>
          <w:rFonts w:ascii="Times New Roman" w:cs="Times New Roman" w:eastAsia="Times New Roman" w:hAnsi="Times New Roman"/>
          <w:b/>
          <w:bCs/>
          <w:i w:val="false"/>
          <w:iCs w:val="false"/>
          <w:sz w:val="24"/>
          <w:szCs w:val="24"/>
        </w:rPr>
        <w:t xml:space="preserve">che cosa lo smentirebbe</w:t>
      </w:r>
      <w:r>
        <w:rPr>
          <w:rFonts w:ascii="Times New Roman" w:cs="Times New Roman" w:eastAsia="Times New Roman" w:hAnsi="Times New Roman"/>
          <w:i w:val="false"/>
          <w:iCs w:val="false"/>
          <w:sz w:val="24"/>
          <w:szCs w:val="24"/>
        </w:rPr>
        <w:t xml:space="preserve">.  Non riproduce il testo dell'opera; ne è l'indice critico. Non nomina alcuna persona come responsabile di reato oltre il giudicato definitivo. Dove l'opera, nella Fase quinta, ordina nomi per probabilità, l'apparato </w:t>
      </w:r>
      <w:r>
        <w:rPr>
          <w:rFonts w:ascii="Times New Roman" w:cs="Times New Roman" w:eastAsia="Times New Roman" w:hAnsi="Times New Roman"/>
          <w:b/>
          <w:bCs/>
          <w:i w:val="false"/>
          <w:iCs w:val="false"/>
          <w:sz w:val="24"/>
          <w:szCs w:val="24"/>
        </w:rPr>
        <w:t xml:space="preserve">non segue l'ordine e non riporta i nomi</w:t>
      </w:r>
      <w:r>
        <w:rPr>
          <w:rFonts w:ascii="Times New Roman" w:cs="Times New Roman" w:eastAsia="Times New Roman" w:hAnsi="Times New Roman"/>
          <w:i w:val="false"/>
          <w:iCs w:val="false"/>
          <w:sz w:val="24"/>
          <w:szCs w:val="24"/>
        </w:rPr>
        <w:t xml:space="preserve">: registra soltanto che quell'intera fase opera, per dichiarazione della stessa opera, allo stato del possibile, con una base accertata limitata a ciò che le sentenze definitive hanno stabilito.</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Fase prima — Il metodo e l'uomo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Cap.</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Asserzione portante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Grado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Che cosa lo smentirebbe</w:t>
            </w:r>
          </w:p>
        </w:tc>
      </w:tr>
      <w:tr>
        <w:tc>
          <w:tcPr>
            <w:tcW w:type="dxa" w:w="2340"/>
          </w:tcPr>
          <w:p>
            <w:pPr>
              <w:spacing w:after="20" w:before="20"/>
              <w:jc w:val="left"/>
            </w:pPr>
            <w:r>
              <w:rPr>
                <w:rFonts w:ascii="Times New Roman" w:cs="Times New Roman" w:eastAsia="Times New Roman" w:hAnsi="Times New Roman"/>
                <w:sz w:val="20"/>
                <w:szCs w:val="20"/>
              </w:rPr>
              <w:t xml:space="preserve">1</w:t>
            </w:r>
          </w:p>
        </w:tc>
        <w:tc>
          <w:tcPr>
            <w:tcW w:type="dxa" w:w="2340"/>
          </w:tcPr>
          <w:p>
            <w:pPr>
              <w:spacing w:after="20" w:before="20"/>
              <w:jc w:val="left"/>
            </w:pPr>
            <w:r>
              <w:rPr>
                <w:rFonts w:ascii="Times New Roman" w:cs="Times New Roman" w:eastAsia="Times New Roman" w:hAnsi="Times New Roman"/>
                <w:sz w:val="20"/>
                <w:szCs w:val="20"/>
              </w:rPr>
              <w:t xml:space="preserve">Statuto dell'opera: natura AI dichiarata; quattro discipline (grado, assenze, persone viventi, tracciabilità); divieto di imputare</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 (è patto di lettura, non asserzione sul mondo)</w:t>
            </w:r>
          </w:p>
        </w:tc>
      </w:tr>
      <w:tr>
        <w:tc>
          <w:tcPr>
            <w:tcW w:type="dxa" w:w="2340"/>
          </w:tcPr>
          <w:p>
            <w:pPr>
              <w:spacing w:after="20" w:before="20"/>
              <w:jc w:val="left"/>
            </w:pPr>
            <w:r>
              <w:rPr>
                <w:rFonts w:ascii="Times New Roman" w:cs="Times New Roman" w:eastAsia="Times New Roman" w:hAnsi="Times New Roman"/>
                <w:sz w:val="20"/>
                <w:szCs w:val="20"/>
              </w:rPr>
              <w:t xml:space="preserve">2</w:t>
            </w:r>
          </w:p>
        </w:tc>
        <w:tc>
          <w:tcPr>
            <w:tcW w:type="dxa" w:w="2340"/>
          </w:tcPr>
          <w:p>
            <w:pPr>
              <w:spacing w:after="20" w:before="20"/>
              <w:jc w:val="left"/>
            </w:pPr>
            <w:r>
              <w:rPr>
                <w:rFonts w:ascii="Times New Roman" w:cs="Times New Roman" w:eastAsia="Times New Roman" w:hAnsi="Times New Roman"/>
                <w:sz w:val="20"/>
                <w:szCs w:val="20"/>
              </w:rPr>
              <w:t xml:space="preserve">Il Pollo di Popper e l'immunizzazione delle ipotesi; i due vizi speculari (dietrologia totalizzante / riduzionismo assolutorio)</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3</w:t>
            </w:r>
          </w:p>
        </w:tc>
        <w:tc>
          <w:tcPr>
            <w:tcW w:type="dxa" w:w="2340"/>
          </w:tcPr>
          <w:p>
            <w:pPr>
              <w:spacing w:after="20" w:before="20"/>
              <w:jc w:val="left"/>
            </w:pPr>
            <w:r>
              <w:rPr>
                <w:rFonts w:ascii="Times New Roman" w:cs="Times New Roman" w:eastAsia="Times New Roman" w:hAnsi="Times New Roman"/>
                <w:sz w:val="20"/>
                <w:szCs w:val="20"/>
              </w:rPr>
              <w:t xml:space="preserve">La sinaptogenesi come protocollo: nodi, connessioni, centralità; ricerca per cerchi concentrici</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4</w:t>
            </w:r>
          </w:p>
        </w:tc>
        <w:tc>
          <w:tcPr>
            <w:tcW w:type="dxa" w:w="2340"/>
          </w:tcPr>
          <w:p>
            <w:pPr>
              <w:spacing w:after="20" w:before="20"/>
              <w:jc w:val="left"/>
            </w:pPr>
            <w:r>
              <w:rPr>
                <w:rFonts w:ascii="Times New Roman" w:cs="Times New Roman" w:eastAsia="Times New Roman" w:hAnsi="Times New Roman"/>
                <w:sz w:val="20"/>
                <w:szCs w:val="20"/>
              </w:rPr>
              <w:t xml:space="preserve">Lo standard a tre livelli (A/B/C)</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5</w:t>
            </w:r>
          </w:p>
        </w:tc>
        <w:tc>
          <w:tcPr>
            <w:tcW w:type="dxa" w:w="2340"/>
          </w:tcPr>
          <w:p>
            <w:pPr>
              <w:spacing w:after="20" w:before="20"/>
              <w:jc w:val="left"/>
            </w:pPr>
            <w:r>
              <w:rPr>
                <w:rFonts w:ascii="Times New Roman" w:cs="Times New Roman" w:eastAsia="Times New Roman" w:hAnsi="Times New Roman"/>
                <w:sz w:val="20"/>
                <w:szCs w:val="20"/>
              </w:rPr>
              <w:t xml:space="preserve">Nascita a Maglie (23/9/1916), famiglia, formazione cattolica</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Anagrafe e biografia documentata di segno contrario (non esistente)</w:t>
            </w:r>
          </w:p>
        </w:tc>
      </w:tr>
      <w:tr>
        <w:tc>
          <w:tcPr>
            <w:tcW w:type="dxa" w:w="2340"/>
          </w:tcPr>
          <w:p>
            <w:pPr>
              <w:spacing w:after="20" w:before="20"/>
              <w:jc w:val="left"/>
            </w:pPr>
            <w:r>
              <w:rPr>
                <w:rFonts w:ascii="Times New Roman" w:cs="Times New Roman" w:eastAsia="Times New Roman" w:hAnsi="Times New Roman"/>
                <w:sz w:val="20"/>
                <w:szCs w:val="20"/>
              </w:rPr>
              <w:t xml:space="preserve">6</w:t>
            </w:r>
          </w:p>
        </w:tc>
        <w:tc>
          <w:tcPr>
            <w:tcW w:type="dxa" w:w="2340"/>
          </w:tcPr>
          <w:p>
            <w:pPr>
              <w:spacing w:after="20" w:before="20"/>
              <w:jc w:val="left"/>
            </w:pPr>
            <w:r>
              <w:rPr>
                <w:rFonts w:ascii="Times New Roman" w:cs="Times New Roman" w:eastAsia="Times New Roman" w:hAnsi="Times New Roman"/>
                <w:sz w:val="20"/>
                <w:szCs w:val="20"/>
              </w:rPr>
              <w:t xml:space="preserve">Presidenza FUCI (1939); la generazione dei costruttori</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Atti associativi di segno contrario</w:t>
            </w:r>
          </w:p>
        </w:tc>
      </w:tr>
      <w:tr>
        <w:tc>
          <w:tcPr>
            <w:tcW w:type="dxa" w:w="2340"/>
          </w:tcPr>
          <w:p>
            <w:pPr>
              <w:spacing w:after="20" w:before="20"/>
              <w:jc w:val="left"/>
            </w:pPr>
            <w:r>
              <w:rPr>
                <w:rFonts w:ascii="Times New Roman" w:cs="Times New Roman" w:eastAsia="Times New Roman" w:hAnsi="Times New Roman"/>
                <w:sz w:val="20"/>
                <w:szCs w:val="20"/>
              </w:rPr>
              <w:t xml:space="preserve">7</w:t>
            </w:r>
          </w:p>
        </w:tc>
        <w:tc>
          <w:tcPr>
            <w:tcW w:type="dxa" w:w="2340"/>
          </w:tcPr>
          <w:p>
            <w:pPr>
              <w:spacing w:after="20" w:before="20"/>
              <w:jc w:val="left"/>
            </w:pPr>
            <w:r>
              <w:rPr>
                <w:rFonts w:ascii="Times New Roman" w:cs="Times New Roman" w:eastAsia="Times New Roman" w:hAnsi="Times New Roman"/>
                <w:sz w:val="20"/>
                <w:szCs w:val="20"/>
              </w:rPr>
              <w:t xml:space="preserve">Il costituente nella prima Sottocommissione dei 75; il ministro</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Atti dell'Assemblea Costituente</w:t>
            </w:r>
          </w:p>
        </w:tc>
      </w:tr>
      <w:tr>
        <w:tc>
          <w:tcPr>
            <w:tcW w:type="dxa" w:w="2340"/>
          </w:tcPr>
          <w:p>
            <w:pPr>
              <w:spacing w:after="20" w:before="20"/>
              <w:jc w:val="left"/>
            </w:pPr>
            <w:r>
              <w:rPr>
                <w:rFonts w:ascii="Times New Roman" w:cs="Times New Roman" w:eastAsia="Times New Roman" w:hAnsi="Times New Roman"/>
                <w:sz w:val="20"/>
                <w:szCs w:val="20"/>
              </w:rPr>
              <w:t xml:space="preserve">8</w:t>
            </w:r>
          </w:p>
        </w:tc>
        <w:tc>
          <w:tcPr>
            <w:tcW w:type="dxa" w:w="2340"/>
          </w:tcPr>
          <w:p>
            <w:pPr>
              <w:spacing w:after="20" w:before="20"/>
              <w:jc w:val="left"/>
            </w:pPr>
            <w:r>
              <w:rPr>
                <w:rFonts w:ascii="Times New Roman" w:cs="Times New Roman" w:eastAsia="Times New Roman" w:hAnsi="Times New Roman"/>
                <w:sz w:val="20"/>
                <w:szCs w:val="20"/>
              </w:rPr>
              <w:t xml:space="preserve">Segretario DC dal 1959; l'apertura a sinistra</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Atti del Consiglio nazionale DC</w:t>
            </w:r>
          </w:p>
        </w:tc>
      </w:tr>
      <w:tr>
        <w:tc>
          <w:tcPr>
            <w:tcW w:type="dxa" w:w="2340"/>
          </w:tcPr>
          <w:p>
            <w:pPr>
              <w:spacing w:after="20" w:before="20"/>
              <w:jc w:val="left"/>
            </w:pPr>
            <w:r>
              <w:rPr>
                <w:rFonts w:ascii="Times New Roman" w:cs="Times New Roman" w:eastAsia="Times New Roman" w:hAnsi="Times New Roman"/>
                <w:sz w:val="20"/>
                <w:szCs w:val="20"/>
              </w:rPr>
              <w:t xml:space="preserve">9</w:t>
            </w:r>
          </w:p>
        </w:tc>
        <w:tc>
          <w:tcPr>
            <w:tcW w:type="dxa" w:w="2340"/>
          </w:tcPr>
          <w:p>
            <w:pPr>
              <w:spacing w:after="20" w:before="20"/>
              <w:jc w:val="left"/>
            </w:pPr>
            <w:r>
              <w:rPr>
                <w:rFonts w:ascii="Times New Roman" w:cs="Times New Roman" w:eastAsia="Times New Roman" w:hAnsi="Times New Roman"/>
                <w:sz w:val="20"/>
                <w:szCs w:val="20"/>
              </w:rPr>
              <w:t xml:space="preserve">La matrice giuridica del pensiero politico moroteo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(biografia) / interpretazione dichiarata</w:t>
            </w:r>
          </w:p>
        </w:tc>
        <w:tc>
          <w:tcPr>
            <w:tcW w:type="dxa" w:w="2340"/>
          </w:tcPr>
          <w:p>
            <w:pPr>
              <w:spacing w:after="20" w:before="20"/>
              <w:jc w:val="left"/>
            </w:pPr>
            <w:r>
              <w:rPr>
                <w:rFonts w:ascii="Times New Roman" w:cs="Times New Roman" w:eastAsia="Times New Roman" w:hAnsi="Times New Roman"/>
                <w:sz w:val="20"/>
                <w:szCs w:val="20"/>
              </w:rPr>
              <w:t xml:space="preserve">Contraddizione documentale nel corpus degli scritti</w:t>
            </w:r>
          </w:p>
        </w:tc>
      </w:tr>
      <w:tr>
        <w:tc>
          <w:tcPr>
            <w:tcW w:type="dxa" w:w="2340"/>
          </w:tcPr>
          <w:p>
            <w:pPr>
              <w:spacing w:after="20" w:before="20"/>
              <w:jc w:val="left"/>
            </w:pPr>
            <w:r>
              <w:rPr>
                <w:rFonts w:ascii="Times New Roman" w:cs="Times New Roman" w:eastAsia="Times New Roman" w:hAnsi="Times New Roman"/>
                <w:sz w:val="20"/>
                <w:szCs w:val="20"/>
              </w:rPr>
              <w:t xml:space="preserve">10</w:t>
            </w:r>
          </w:p>
        </w:tc>
        <w:tc>
          <w:tcPr>
            <w:tcW w:type="dxa" w:w="2340"/>
          </w:tcPr>
          <w:p>
            <w:pPr>
              <w:spacing w:after="20" w:before="20"/>
              <w:jc w:val="left"/>
            </w:pPr>
            <w:r>
              <w:rPr>
                <w:rFonts w:ascii="Times New Roman" w:cs="Times New Roman" w:eastAsia="Times New Roman" w:hAnsi="Times New Roman"/>
                <w:sz w:val="20"/>
                <w:szCs w:val="20"/>
              </w:rPr>
              <w:t xml:space="preserve">Lo stile e la lingua come forma del pensiero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su fatti / lettura d'autore</w:t>
            </w:r>
          </w:p>
        </w:tc>
        <w:tc>
          <w:tcPr>
            <w:tcW w:type="dxa" w:w="2340"/>
          </w:tcPr>
          <w:p>
            <w:pPr>
              <w:spacing w:after="20" w:before="20"/>
              <w:jc w:val="left"/>
            </w:pPr>
            <w:r>
              <w:rPr>
                <w:rFonts w:ascii="Times New Roman" w:cs="Times New Roman" w:eastAsia="Times New Roman" w:hAnsi="Times New Roman"/>
                <w:sz w:val="20"/>
                <w:szCs w:val="20"/>
              </w:rPr>
              <w:t xml:space="preserve">— (lettura dichiarata)</w:t>
            </w:r>
          </w:p>
        </w:tc>
      </w:tr>
    </w:tbl>
    <w:p>
      <w:pPr>
        <w:spacing w:after="80"/>
      </w:pPr>
    </w:p>
    <w:p>
      <w:pPr>
        <w:pStyle w:val="Heading2"/>
        <w:spacing w:after="100" w:before="200"/>
      </w:pPr>
      <w:r>
        <w:rPr>
          <w:rFonts w:ascii="Times New Roman" w:cs="Times New Roman" w:eastAsia="Times New Roman" w:hAnsi="Times New Roman"/>
          <w:sz w:val="24"/>
          <w:szCs w:val="24"/>
        </w:rPr>
        <w:t xml:space="preserve">Fase seconda — Il perché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Cap.</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Asserzione portante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Grado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Che cosa lo smentirebbe</w:t>
            </w:r>
          </w:p>
        </w:tc>
      </w:tr>
      <w:tr>
        <w:tc>
          <w:tcPr>
            <w:tcW w:type="dxa" w:w="2340"/>
          </w:tcPr>
          <w:p>
            <w:pPr>
              <w:spacing w:after="20" w:before="20"/>
              <w:jc w:val="left"/>
            </w:pPr>
            <w:r>
              <w:rPr>
                <w:rFonts w:ascii="Times New Roman" w:cs="Times New Roman" w:eastAsia="Times New Roman" w:hAnsi="Times New Roman"/>
                <w:sz w:val="20"/>
                <w:szCs w:val="20"/>
              </w:rPr>
              <w:t xml:space="preserve">11</w:t>
            </w:r>
          </w:p>
        </w:tc>
        <w:tc>
          <w:tcPr>
            <w:tcW w:type="dxa" w:w="2340"/>
          </w:tcPr>
          <w:p>
            <w:pPr>
              <w:spacing w:after="20" w:before="20"/>
              <w:jc w:val="left"/>
            </w:pPr>
            <w:r>
              <w:rPr>
                <w:rFonts w:ascii="Times New Roman" w:cs="Times New Roman" w:eastAsia="Times New Roman" w:hAnsi="Times New Roman"/>
                <w:sz w:val="20"/>
                <w:szCs w:val="20"/>
              </w:rPr>
              <w:t xml:space="preserve">Quadro internazionale: l'esposizione di Moro nell'Italia della Guerra Fredda (PCI più forte d'Occidente)</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come contesto</w:t>
            </w:r>
          </w:p>
        </w:tc>
        <w:tc>
          <w:tcPr>
            <w:tcW w:type="dxa" w:w="2340"/>
          </w:tcPr>
          <w:p>
            <w:pPr>
              <w:spacing w:after="20" w:before="20"/>
              <w:jc w:val="left"/>
            </w:pPr>
            <w:r>
              <w:rPr>
                <w:rFonts w:ascii="Times New Roman" w:cs="Times New Roman" w:eastAsia="Times New Roman" w:hAnsi="Times New Roman"/>
                <w:sz w:val="20"/>
                <w:szCs w:val="20"/>
              </w:rPr>
              <w:t xml:space="preserve">Documenti che escludano l'ostilità internazionale (non trovati)</w:t>
            </w:r>
          </w:p>
        </w:tc>
      </w:tr>
      <w:tr>
        <w:tc>
          <w:tcPr>
            <w:tcW w:type="dxa" w:w="2340"/>
          </w:tcPr>
          <w:p>
            <w:pPr>
              <w:spacing w:after="20" w:before="20"/>
              <w:jc w:val="left"/>
            </w:pPr>
            <w:r>
              <w:rPr>
                <w:rFonts w:ascii="Times New Roman" w:cs="Times New Roman" w:eastAsia="Times New Roman" w:hAnsi="Times New Roman"/>
                <w:sz w:val="20"/>
                <w:szCs w:val="20"/>
              </w:rPr>
              <w:t xml:space="preserve">12</w:t>
            </w:r>
          </w:p>
        </w:tc>
        <w:tc>
          <w:tcPr>
            <w:tcW w:type="dxa" w:w="2340"/>
          </w:tcPr>
          <w:p>
            <w:pPr>
              <w:spacing w:after="20" w:before="20"/>
              <w:jc w:val="left"/>
            </w:pPr>
            <w:r>
              <w:rPr>
                <w:rFonts w:ascii="Times New Roman" w:cs="Times New Roman" w:eastAsia="Times New Roman" w:hAnsi="Times New Roman"/>
                <w:sz w:val="20"/>
                <w:szCs w:val="20"/>
              </w:rPr>
              <w:t xml:space="preserve">L'anomalia italiana e l'eurocomunismo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contesto</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13</w:t>
            </w:r>
          </w:p>
        </w:tc>
        <w:tc>
          <w:tcPr>
            <w:tcW w:type="dxa" w:w="2340"/>
          </w:tcPr>
          <w:p>
            <w:pPr>
              <w:spacing w:after="20" w:before="20"/>
              <w:jc w:val="left"/>
            </w:pPr>
            <w:r>
              <w:rPr>
                <w:rFonts w:ascii="Times New Roman" w:cs="Times New Roman" w:eastAsia="Times New Roman" w:hAnsi="Times New Roman"/>
                <w:sz w:val="20"/>
                <w:szCs w:val="20"/>
              </w:rPr>
              <w:t xml:space="preserve">I nemici del primo tempo dell'inclusione (l'apertura ai socialisti)</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contesto</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14</w:t>
            </w:r>
          </w:p>
        </w:tc>
        <w:tc>
          <w:tcPr>
            <w:tcW w:type="dxa" w:w="2340"/>
          </w:tcPr>
          <w:p>
            <w:pPr>
              <w:spacing w:after="20" w:before="20"/>
              <w:jc w:val="left"/>
            </w:pPr>
            <w:r>
              <w:rPr>
                <w:rFonts w:ascii="Times New Roman" w:cs="Times New Roman" w:eastAsia="Times New Roman" w:hAnsi="Times New Roman"/>
                <w:sz w:val="20"/>
                <w:szCs w:val="20"/>
              </w:rPr>
              <w:t xml:space="preserve">La solidarietà nazionale come capolavoro tattico e rischio strategico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su fatti / valutazione</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15</w:t>
            </w:r>
          </w:p>
        </w:tc>
        <w:tc>
          <w:tcPr>
            <w:tcW w:type="dxa" w:w="2340"/>
          </w:tcPr>
          <w:p>
            <w:pPr>
              <w:spacing w:after="20" w:before="20"/>
              <w:jc w:val="left"/>
            </w:pPr>
            <w:r>
              <w:rPr>
                <w:rFonts w:ascii="Times New Roman" w:cs="Times New Roman" w:eastAsia="Times New Roman" w:hAnsi="Times New Roman"/>
                <w:sz w:val="20"/>
                <w:szCs w:val="20"/>
              </w:rPr>
              <w:t xml:space="preserve">Gli avvertimenti attorno al «tessitore»</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l'esistenza di contrarietà; </w:t>
            </w:r>
            <w:r>
              <w:rPr>
                <w:rFonts w:ascii="Times New Roman" w:cs="Times New Roman" w:eastAsia="Times New Roman" w:hAnsi="Times New Roman"/>
                <w:b/>
                <w:bCs/>
                <w:sz w:val="20"/>
                <w:szCs w:val="20"/>
              </w:rPr>
              <w:t xml:space="preserve">C</w:t>
            </w:r>
            <w:r>
              <w:rPr>
                <w:rFonts w:ascii="Times New Roman" w:cs="Times New Roman" w:eastAsia="Times New Roman" w:hAnsi="Times New Roman"/>
                <w:sz w:val="20"/>
                <w:szCs w:val="20"/>
              </w:rPr>
              <w:t xml:space="preserve"> un mandato che ne discenda</w:t>
            </w:r>
          </w:p>
        </w:tc>
        <w:tc>
          <w:tcPr>
            <w:tcW w:type="dxa" w:w="2340"/>
          </w:tcPr>
          <w:p>
            <w:pPr>
              <w:spacing w:after="20" w:before="20"/>
              <w:jc w:val="left"/>
            </w:pPr>
            <w:r>
              <w:rPr>
                <w:rFonts w:ascii="Times New Roman" w:cs="Times New Roman" w:eastAsia="Times New Roman" w:hAnsi="Times New Roman"/>
                <w:sz w:val="20"/>
                <w:szCs w:val="20"/>
              </w:rPr>
              <w:t xml:space="preserve">Un documento che leghi un avvertimento a una direttiva esecutiva</w:t>
            </w:r>
          </w:p>
        </w:tc>
      </w:tr>
      <w:tr>
        <w:tc>
          <w:tcPr>
            <w:tcW w:type="dxa" w:w="2340"/>
          </w:tcPr>
          <w:p>
            <w:pPr>
              <w:spacing w:after="20" w:before="20"/>
              <w:jc w:val="left"/>
            </w:pPr>
            <w:r>
              <w:rPr>
                <w:rFonts w:ascii="Times New Roman" w:cs="Times New Roman" w:eastAsia="Times New Roman" w:hAnsi="Times New Roman"/>
                <w:sz w:val="20"/>
                <w:szCs w:val="20"/>
              </w:rPr>
              <w:t xml:space="preserve">16</w:t>
            </w:r>
          </w:p>
        </w:tc>
        <w:tc>
          <w:tcPr>
            <w:tcW w:type="dxa" w:w="2340"/>
          </w:tcPr>
          <w:p>
            <w:pPr>
              <w:spacing w:after="20" w:before="20"/>
              <w:jc w:val="left"/>
            </w:pPr>
            <w:r>
              <w:rPr>
                <w:rFonts w:ascii="Times New Roman" w:cs="Times New Roman" w:eastAsia="Times New Roman" w:hAnsi="Times New Roman"/>
                <w:sz w:val="20"/>
                <w:szCs w:val="20"/>
              </w:rPr>
              <w:t xml:space="preserve">Politica mediterranea e «lodo Moro»: il nodo multistrato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la politica; </w:t>
            </w:r>
            <w:r>
              <w:rPr>
                <w:rFonts w:ascii="Times New Roman" w:cs="Times New Roman" w:eastAsia="Times New Roman" w:hAnsi="Times New Roman"/>
                <w:b/>
                <w:bCs/>
                <w:sz w:val="20"/>
                <w:szCs w:val="20"/>
              </w:rPr>
              <w:t xml:space="preserve">B/C</w:t>
            </w:r>
            <w:r>
              <w:rPr>
                <w:rFonts w:ascii="Times New Roman" w:cs="Times New Roman" w:eastAsia="Times New Roman" w:hAnsi="Times New Roman"/>
                <w:sz w:val="20"/>
                <w:szCs w:val="20"/>
              </w:rPr>
              <w:t xml:space="preserve"> le ipotesi che vi si radicano</w:t>
            </w:r>
          </w:p>
        </w:tc>
        <w:tc>
          <w:tcPr>
            <w:tcW w:type="dxa" w:w="2340"/>
          </w:tcPr>
          <w:p>
            <w:pPr>
              <w:spacing w:after="20" w:before="20"/>
              <w:jc w:val="left"/>
            </w:pPr>
            <w:r>
              <w:rPr>
                <w:rFonts w:ascii="Times New Roman" w:cs="Times New Roman" w:eastAsia="Times New Roman" w:hAnsi="Times New Roman"/>
                <w:sz w:val="20"/>
                <w:szCs w:val="20"/>
              </w:rPr>
              <w:t xml:space="preserve">Atti riservati sui canali mediorientali</w:t>
            </w:r>
          </w:p>
        </w:tc>
      </w:tr>
      <w:tr>
        <w:tc>
          <w:tcPr>
            <w:tcW w:type="dxa" w:w="2340"/>
          </w:tcPr>
          <w:p>
            <w:pPr>
              <w:spacing w:after="20" w:before="20"/>
              <w:jc w:val="left"/>
            </w:pPr>
            <w:r>
              <w:rPr>
                <w:rFonts w:ascii="Times New Roman" w:cs="Times New Roman" w:eastAsia="Times New Roman" w:hAnsi="Times New Roman"/>
                <w:sz w:val="20"/>
                <w:szCs w:val="20"/>
              </w:rPr>
              <w:t xml:space="preserve">17</w:t>
            </w:r>
          </w:p>
        </w:tc>
        <w:tc>
          <w:tcPr>
            <w:tcW w:type="dxa" w:w="2340"/>
          </w:tcPr>
          <w:p>
            <w:pPr>
              <w:spacing w:after="20" w:before="20"/>
              <w:jc w:val="left"/>
            </w:pPr>
            <w:r>
              <w:rPr>
                <w:rFonts w:ascii="Times New Roman" w:cs="Times New Roman" w:eastAsia="Times New Roman" w:hAnsi="Times New Roman"/>
                <w:sz w:val="20"/>
                <w:szCs w:val="20"/>
              </w:rPr>
              <w:t xml:space="preserve">I dieci domini che si intrecciano nel caso</w:t>
            </w:r>
          </w:p>
        </w:tc>
        <w:tc>
          <w:tcPr>
            <w:tcW w:type="dxa" w:w="2340"/>
          </w:tcPr>
          <w:p>
            <w:pPr>
              <w:spacing w:after="20" w:before="20"/>
              <w:jc w:val="left"/>
            </w:pPr>
            <w:r>
              <w:rPr>
                <w:rFonts w:ascii="Times New Roman" w:cs="Times New Roman" w:eastAsia="Times New Roman" w:hAnsi="Times New Roman"/>
                <w:b/>
                <w:bCs/>
                <w:sz w:val="20"/>
                <w:szCs w:val="20"/>
              </w:rPr>
              <w:t xml:space="preserve">M</w:t>
            </w:r>
            <w:r>
              <w:rPr>
                <w:rFonts w:ascii="Times New Roman" w:cs="Times New Roman" w:eastAsia="Times New Roman" w:hAnsi="Times New Roman"/>
                <w:sz w:val="20"/>
                <w:szCs w:val="20"/>
              </w:rPr>
              <w:t xml:space="preserve"> (mappa)</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18</w:t>
            </w:r>
          </w:p>
        </w:tc>
        <w:tc>
          <w:tcPr>
            <w:tcW w:type="dxa" w:w="2340"/>
          </w:tcPr>
          <w:p>
            <w:pPr>
              <w:spacing w:after="20" w:before="20"/>
              <w:jc w:val="left"/>
            </w:pPr>
            <w:r>
              <w:rPr>
                <w:rFonts w:ascii="Times New Roman" w:cs="Times New Roman" w:eastAsia="Times New Roman" w:hAnsi="Times New Roman"/>
                <w:b/>
                <w:bCs/>
                <w:sz w:val="20"/>
                <w:szCs w:val="20"/>
              </w:rPr>
              <w:t xml:space="preserve">Autonomia accertata delle Brigate Rosse</w:t>
            </w:r>
            <w:r>
              <w:rPr>
                <w:rFonts w:ascii="Times New Roman" w:cs="Times New Roman" w:eastAsia="Times New Roman" w:hAnsi="Times New Roman"/>
                <w:sz w:val="20"/>
                <w:szCs w:val="20"/>
              </w:rPr>
              <w:t xml:space="preserve"> come organizzazione armata</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Un documento coevo, esterno, autenticato, che provi l'eterodirezione (cercato, non trovato)</w:t>
            </w:r>
          </w:p>
        </w:tc>
      </w:tr>
      <w:tr>
        <w:tc>
          <w:tcPr>
            <w:tcW w:type="dxa" w:w="2340"/>
          </w:tcPr>
          <w:p>
            <w:pPr>
              <w:spacing w:after="20" w:before="20"/>
              <w:jc w:val="left"/>
            </w:pPr>
            <w:r>
              <w:rPr>
                <w:rFonts w:ascii="Times New Roman" w:cs="Times New Roman" w:eastAsia="Times New Roman" w:hAnsi="Times New Roman"/>
                <w:sz w:val="20"/>
                <w:szCs w:val="20"/>
              </w:rPr>
              <w:t xml:space="preserve">19</w:t>
            </w:r>
          </w:p>
        </w:tc>
        <w:tc>
          <w:tcPr>
            <w:tcW w:type="dxa" w:w="2340"/>
          </w:tcPr>
          <w:p>
            <w:pPr>
              <w:spacing w:after="20" w:before="20"/>
              <w:jc w:val="left"/>
            </w:pPr>
            <w:r>
              <w:rPr>
                <w:rFonts w:ascii="Times New Roman" w:cs="Times New Roman" w:eastAsia="Times New Roman" w:hAnsi="Times New Roman"/>
                <w:sz w:val="20"/>
                <w:szCs w:val="20"/>
              </w:rPr>
              <w:t xml:space="preserve">La vigilia: il 1977-78, tutti i fili si tendono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contesto</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20</w:t>
            </w:r>
          </w:p>
        </w:tc>
        <w:tc>
          <w:tcPr>
            <w:tcW w:type="dxa" w:w="2340"/>
          </w:tcPr>
          <w:p>
            <w:pPr>
              <w:spacing w:after="20" w:before="20"/>
              <w:jc w:val="left"/>
            </w:pPr>
            <w:r>
              <w:rPr>
                <w:rFonts w:ascii="Times New Roman" w:cs="Times New Roman" w:eastAsia="Times New Roman" w:hAnsi="Times New Roman"/>
                <w:sz w:val="20"/>
                <w:szCs w:val="20"/>
              </w:rPr>
              <w:t xml:space="preserve">«Perché Moro»: la scelta del bersaglio nella logica dichiarata delle BR</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(logica rivendicata)</w:t>
            </w:r>
          </w:p>
        </w:tc>
        <w:tc>
          <w:tcPr>
            <w:tcW w:type="dxa" w:w="2340"/>
          </w:tcPr>
          <w:p>
            <w:pPr>
              <w:spacing w:after="20" w:before="20"/>
              <w:jc w:val="left"/>
            </w:pPr>
            <w:r>
              <w:rPr>
                <w:rFonts w:ascii="Times New Roman" w:cs="Times New Roman" w:eastAsia="Times New Roman" w:hAnsi="Times New Roman"/>
                <w:sz w:val="20"/>
                <w:szCs w:val="20"/>
              </w:rPr>
              <w:t xml:space="preserve">Documento che attribuisca la scelta ad altra volontà</w:t>
            </w:r>
          </w:p>
        </w:tc>
      </w:tr>
    </w:tbl>
    <w:p>
      <w:pPr>
        <w:spacing w:after="80"/>
      </w:pPr>
    </w:p>
    <w:p>
      <w:pPr>
        <w:pStyle w:val="Heading2"/>
        <w:spacing w:after="100" w:before="200"/>
      </w:pPr>
      <w:r>
        <w:rPr>
          <w:rFonts w:ascii="Times New Roman" w:cs="Times New Roman" w:eastAsia="Times New Roman" w:hAnsi="Times New Roman"/>
          <w:sz w:val="24"/>
          <w:szCs w:val="24"/>
        </w:rPr>
        <w:t xml:space="preserve">Fase terza — Il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Cap.</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Asserzione portante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Grado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Che cosa lo smentirebbe</w:t>
            </w:r>
          </w:p>
        </w:tc>
      </w:tr>
      <w:tr>
        <w:tc>
          <w:tcPr>
            <w:tcW w:type="dxa" w:w="2340"/>
          </w:tcPr>
          <w:p>
            <w:pPr>
              <w:spacing w:after="20" w:before="20"/>
              <w:jc w:val="left"/>
            </w:pPr>
            <w:r>
              <w:rPr>
                <w:rFonts w:ascii="Times New Roman" w:cs="Times New Roman" w:eastAsia="Times New Roman" w:hAnsi="Times New Roman"/>
                <w:sz w:val="20"/>
                <w:szCs w:val="20"/>
              </w:rPr>
              <w:t xml:space="preserve">21</w:t>
            </w:r>
          </w:p>
        </w:tc>
        <w:tc>
          <w:tcPr>
            <w:tcW w:type="dxa" w:w="2340"/>
          </w:tcPr>
          <w:p>
            <w:pPr>
              <w:spacing w:after="20" w:before="20"/>
              <w:jc w:val="left"/>
            </w:pPr>
            <w:r>
              <w:rPr>
                <w:rFonts w:ascii="Times New Roman" w:cs="Times New Roman" w:eastAsia="Times New Roman" w:hAnsi="Times New Roman"/>
                <w:sz w:val="20"/>
                <w:szCs w:val="20"/>
              </w:rPr>
              <w:t xml:space="preserve">La mattina del 16 marzo 1978</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Cronologia documentale di segno contrario</w:t>
            </w:r>
          </w:p>
        </w:tc>
      </w:tr>
      <w:tr>
        <w:tc>
          <w:tcPr>
            <w:tcW w:type="dxa" w:w="2340"/>
          </w:tcPr>
          <w:p>
            <w:pPr>
              <w:spacing w:after="20" w:before="20"/>
              <w:jc w:val="left"/>
            </w:pPr>
            <w:r>
              <w:rPr>
                <w:rFonts w:ascii="Times New Roman" w:cs="Times New Roman" w:eastAsia="Times New Roman" w:hAnsi="Times New Roman"/>
                <w:sz w:val="20"/>
                <w:szCs w:val="20"/>
              </w:rPr>
              <w:t xml:space="preserve">22</w:t>
            </w:r>
          </w:p>
        </w:tc>
        <w:tc>
          <w:tcPr>
            <w:tcW w:type="dxa" w:w="2340"/>
          </w:tcPr>
          <w:p>
            <w:pPr>
              <w:spacing w:after="20" w:before="20"/>
              <w:jc w:val="left"/>
            </w:pPr>
            <w:r>
              <w:rPr>
                <w:rFonts w:ascii="Times New Roman" w:cs="Times New Roman" w:eastAsia="Times New Roman" w:hAnsi="Times New Roman"/>
                <w:sz w:val="20"/>
                <w:szCs w:val="20"/>
              </w:rPr>
              <w:t xml:space="preserve">La meccanica dell'agguato di via Fani; la scelta del giorno (fiducia al governo con appoggio PCI)</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l'agguato e la data; </w:t>
            </w:r>
            <w:r>
              <w:rPr>
                <w:rFonts w:ascii="Times New Roman" w:cs="Times New Roman" w:eastAsia="Times New Roman" w:hAnsi="Times New Roman"/>
                <w:b/>
                <w:bCs/>
                <w:sz w:val="20"/>
                <w:szCs w:val="20"/>
              </w:rPr>
              <w:t xml:space="preserve">B/C</w:t>
            </w:r>
            <w:r>
              <w:rPr>
                <w:rFonts w:ascii="Times New Roman" w:cs="Times New Roman" w:eastAsia="Times New Roman" w:hAnsi="Times New Roman"/>
                <w:sz w:val="20"/>
                <w:szCs w:val="20"/>
              </w:rPr>
              <w:t xml:space="preserve"> la ricostruzione minuta</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23</w:t>
            </w:r>
          </w:p>
        </w:tc>
        <w:tc>
          <w:tcPr>
            <w:tcW w:type="dxa" w:w="2340"/>
          </w:tcPr>
          <w:p>
            <w:pPr>
              <w:spacing w:after="20" w:before="20"/>
              <w:jc w:val="left"/>
            </w:pPr>
            <w:r>
              <w:rPr>
                <w:rFonts w:ascii="Times New Roman" w:cs="Times New Roman" w:eastAsia="Times New Roman" w:hAnsi="Times New Roman"/>
                <w:sz w:val="20"/>
                <w:szCs w:val="20"/>
              </w:rPr>
              <w:t xml:space="preserve">I cinque della scorta: Leonardi, Ricci, Rivera, Zizzi, Iozzino</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24</w:t>
            </w:r>
          </w:p>
        </w:tc>
        <w:tc>
          <w:tcPr>
            <w:tcW w:type="dxa" w:w="2340"/>
          </w:tcPr>
          <w:p>
            <w:pPr>
              <w:spacing w:after="20" w:before="20"/>
              <w:jc w:val="left"/>
            </w:pPr>
            <w:r>
              <w:rPr>
                <w:rFonts w:ascii="Times New Roman" w:cs="Times New Roman" w:eastAsia="Times New Roman" w:hAnsi="Times New Roman"/>
                <w:sz w:val="20"/>
                <w:szCs w:val="20"/>
              </w:rPr>
              <w:t xml:space="preserve">Le questioni aperte di via Fani (numero sparatori, moto Honda, anomalie balistiche)</w:t>
            </w:r>
          </w:p>
        </w:tc>
        <w:tc>
          <w:tcPr>
            <w:tcW w:type="dxa" w:w="2340"/>
          </w:tcPr>
          <w:p>
            <w:pPr>
              <w:spacing w:after="20" w:before="20"/>
              <w:jc w:val="left"/>
            </w:pPr>
            <w:r>
              <w:rPr>
                <w:rFonts w:ascii="Times New Roman" w:cs="Times New Roman" w:eastAsia="Times New Roman" w:hAnsi="Times New Roman"/>
                <w:b/>
                <w:bCs/>
                <w:sz w:val="20"/>
                <w:szCs w:val="20"/>
              </w:rPr>
              <w:t xml:space="preserve">B/C</w:t>
            </w:r>
          </w:p>
        </w:tc>
        <w:tc>
          <w:tcPr>
            <w:tcW w:type="dxa" w:w="2340"/>
          </w:tcPr>
          <w:p>
            <w:pPr>
              <w:spacing w:after="20" w:before="20"/>
              <w:jc w:val="left"/>
            </w:pPr>
            <w:r>
              <w:rPr>
                <w:rFonts w:ascii="Times New Roman" w:cs="Times New Roman" w:eastAsia="Times New Roman" w:hAnsi="Times New Roman"/>
                <w:sz w:val="20"/>
                <w:szCs w:val="20"/>
              </w:rPr>
              <w:t xml:space="preserve">Prova positiva di un tiratore non riconducibile alle BR</w:t>
            </w:r>
          </w:p>
        </w:tc>
      </w:tr>
      <w:tr>
        <w:tc>
          <w:tcPr>
            <w:tcW w:type="dxa" w:w="2340"/>
          </w:tcPr>
          <w:p>
            <w:pPr>
              <w:spacing w:after="20" w:before="20"/>
              <w:jc w:val="left"/>
            </w:pPr>
            <w:r>
              <w:rPr>
                <w:rFonts w:ascii="Times New Roman" w:cs="Times New Roman" w:eastAsia="Times New Roman" w:hAnsi="Times New Roman"/>
                <w:sz w:val="20"/>
                <w:szCs w:val="20"/>
              </w:rPr>
              <w:t xml:space="preserve">25</w:t>
            </w:r>
          </w:p>
        </w:tc>
        <w:tc>
          <w:tcPr>
            <w:tcW w:type="dxa" w:w="2340"/>
          </w:tcPr>
          <w:p>
            <w:pPr>
              <w:spacing w:after="20" w:before="20"/>
              <w:jc w:val="left"/>
            </w:pPr>
            <w:r>
              <w:rPr>
                <w:rFonts w:ascii="Times New Roman" w:cs="Times New Roman" w:eastAsia="Times New Roman" w:hAnsi="Times New Roman"/>
                <w:sz w:val="20"/>
                <w:szCs w:val="20"/>
              </w:rPr>
              <w:t xml:space="preserve">La prigionia; l'individuazione della prigione di via Montalcini</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Prova documentale di prigione diversa (non trovata)</w:t>
            </w:r>
          </w:p>
        </w:tc>
      </w:tr>
      <w:tr>
        <w:tc>
          <w:tcPr>
            <w:tcW w:type="dxa" w:w="2340"/>
          </w:tcPr>
          <w:p>
            <w:pPr>
              <w:spacing w:after="20" w:before="20"/>
              <w:jc w:val="left"/>
            </w:pPr>
            <w:r>
              <w:rPr>
                <w:rFonts w:ascii="Times New Roman" w:cs="Times New Roman" w:eastAsia="Times New Roman" w:hAnsi="Times New Roman"/>
                <w:sz w:val="20"/>
                <w:szCs w:val="20"/>
              </w:rPr>
              <w:t xml:space="preserve">26</w:t>
            </w:r>
          </w:p>
        </w:tc>
        <w:tc>
          <w:tcPr>
            <w:tcW w:type="dxa" w:w="2340"/>
          </w:tcPr>
          <w:p>
            <w:pPr>
              <w:spacing w:after="20" w:before="20"/>
              <w:jc w:val="left"/>
            </w:pPr>
            <w:r>
              <w:rPr>
                <w:rFonts w:ascii="Times New Roman" w:cs="Times New Roman" w:eastAsia="Times New Roman" w:hAnsi="Times New Roman"/>
                <w:sz w:val="20"/>
                <w:szCs w:val="20"/>
              </w:rPr>
              <w:t xml:space="preserve">Le lettere dalla prigionia: registro politico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(esistenza e testo) / lettura</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27</w:t>
            </w:r>
          </w:p>
        </w:tc>
        <w:tc>
          <w:tcPr>
            <w:tcW w:type="dxa" w:w="2340"/>
          </w:tcPr>
          <w:p>
            <w:pPr>
              <w:spacing w:after="20" w:before="20"/>
              <w:jc w:val="left"/>
            </w:pPr>
            <w:r>
              <w:rPr>
                <w:rFonts w:ascii="Times New Roman" w:cs="Times New Roman" w:eastAsia="Times New Roman" w:hAnsi="Times New Roman"/>
                <w:sz w:val="20"/>
                <w:szCs w:val="20"/>
              </w:rPr>
              <w:t xml:space="preserve">Le lettere: registro umano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(esistenza e testo) / lettura</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28</w:t>
            </w:r>
          </w:p>
        </w:tc>
        <w:tc>
          <w:tcPr>
            <w:tcW w:type="dxa" w:w="2340"/>
          </w:tcPr>
          <w:p>
            <w:pPr>
              <w:spacing w:after="20" w:before="20"/>
              <w:jc w:val="left"/>
            </w:pPr>
            <w:r>
              <w:rPr>
                <w:rFonts w:ascii="Times New Roman" w:cs="Times New Roman" w:eastAsia="Times New Roman" w:hAnsi="Times New Roman"/>
                <w:sz w:val="20"/>
                <w:szCs w:val="20"/>
              </w:rPr>
              <w:t xml:space="preserve">Il memoriale e la sua sorte</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i fatti;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rPr>
              <w:t xml:space="preserve"> la manipolazione/incompletezza deliberata</w:t>
            </w:r>
          </w:p>
        </w:tc>
        <w:tc>
          <w:tcPr>
            <w:tcW w:type="dxa" w:w="2340"/>
          </w:tcPr>
          <w:p>
            <w:pPr>
              <w:spacing w:after="20" w:before="20"/>
              <w:jc w:val="left"/>
            </w:pPr>
            <w:r>
              <w:rPr>
                <w:rFonts w:ascii="Times New Roman" w:cs="Times New Roman" w:eastAsia="Times New Roman" w:hAnsi="Times New Roman"/>
                <w:sz w:val="20"/>
                <w:szCs w:val="20"/>
              </w:rPr>
              <w:t xml:space="preserve">Catena di custodia integrale delle carte di via Monte Nevoso</w:t>
            </w:r>
          </w:p>
        </w:tc>
      </w:tr>
      <w:tr>
        <w:tc>
          <w:tcPr>
            <w:tcW w:type="dxa" w:w="2340"/>
          </w:tcPr>
          <w:p>
            <w:pPr>
              <w:spacing w:after="20" w:before="20"/>
              <w:jc w:val="left"/>
            </w:pPr>
            <w:r>
              <w:rPr>
                <w:rFonts w:ascii="Times New Roman" w:cs="Times New Roman" w:eastAsia="Times New Roman" w:hAnsi="Times New Roman"/>
                <w:sz w:val="20"/>
                <w:szCs w:val="20"/>
              </w:rPr>
              <w:t xml:space="preserve">29</w:t>
            </w:r>
          </w:p>
        </w:tc>
        <w:tc>
          <w:tcPr>
            <w:tcW w:type="dxa" w:w="2340"/>
          </w:tcPr>
          <w:p>
            <w:pPr>
              <w:spacing w:after="20" w:before="20"/>
              <w:jc w:val="left"/>
            </w:pPr>
            <w:r>
              <w:rPr>
                <w:rFonts w:ascii="Times New Roman" w:cs="Times New Roman" w:eastAsia="Times New Roman" w:hAnsi="Times New Roman"/>
                <w:sz w:val="20"/>
                <w:szCs w:val="20"/>
              </w:rPr>
              <w:t xml:space="preserve">Fermezza contro trattativa</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lo schieramento e la scelta; </w:t>
            </w:r>
            <w:r>
              <w:rPr>
                <w:rFonts w:ascii="Times New Roman" w:cs="Times New Roman" w:eastAsia="Times New Roman" w:hAnsi="Times New Roman"/>
                <w:b/>
                <w:bCs/>
                <w:sz w:val="20"/>
                <w:szCs w:val="20"/>
              </w:rPr>
              <w:t xml:space="preserve">C</w:t>
            </w:r>
            <w:r>
              <w:rPr>
                <w:rFonts w:ascii="Times New Roman" w:cs="Times New Roman" w:eastAsia="Times New Roman" w:hAnsi="Times New Roman"/>
                <w:sz w:val="20"/>
                <w:szCs w:val="20"/>
              </w:rPr>
              <w:t xml:space="preserve"> l'esito contro-fattuale</w:t>
            </w:r>
          </w:p>
        </w:tc>
        <w:tc>
          <w:tcPr>
            <w:tcW w:type="dxa" w:w="2340"/>
          </w:tcPr>
          <w:p>
            <w:pPr>
              <w:spacing w:after="20" w:before="20"/>
              <w:jc w:val="left"/>
            </w:pPr>
            <w:r>
              <w:rPr>
                <w:rFonts w:ascii="Times New Roman" w:cs="Times New Roman" w:eastAsia="Times New Roman" w:hAnsi="Times New Roman"/>
                <w:sz w:val="20"/>
                <w:szCs w:val="20"/>
              </w:rPr>
              <w:t xml:space="preserve">— (i contro-fattuali non sono falsificabili)</w:t>
            </w:r>
          </w:p>
        </w:tc>
      </w:tr>
      <w:tr>
        <w:tc>
          <w:tcPr>
            <w:tcW w:type="dxa" w:w="2340"/>
          </w:tcPr>
          <w:p>
            <w:pPr>
              <w:spacing w:after="20" w:before="20"/>
              <w:jc w:val="left"/>
            </w:pPr>
            <w:r>
              <w:rPr>
                <w:rFonts w:ascii="Times New Roman" w:cs="Times New Roman" w:eastAsia="Times New Roman" w:hAnsi="Times New Roman"/>
                <w:sz w:val="20"/>
                <w:szCs w:val="20"/>
              </w:rPr>
              <w:t xml:space="preserve">30</w:t>
            </w:r>
          </w:p>
        </w:tc>
        <w:tc>
          <w:tcPr>
            <w:tcW w:type="dxa" w:w="2340"/>
          </w:tcPr>
          <w:p>
            <w:pPr>
              <w:spacing w:after="20" w:before="20"/>
              <w:jc w:val="left"/>
            </w:pPr>
            <w:r>
              <w:rPr>
                <w:rFonts w:ascii="Times New Roman" w:cs="Times New Roman" w:eastAsia="Times New Roman" w:hAnsi="Times New Roman"/>
                <w:sz w:val="20"/>
                <w:szCs w:val="20"/>
              </w:rPr>
              <w:t xml:space="preserve">Il 9 maggio, via Caetani</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w:t>
            </w:r>
          </w:p>
        </w:tc>
      </w:tr>
    </w:tbl>
    <w:p>
      <w:pPr>
        <w:spacing w:after="80"/>
      </w:pPr>
    </w:p>
    <w:p>
      <w:pPr>
        <w:pStyle w:val="Heading2"/>
        <w:spacing w:after="100" w:before="200"/>
      </w:pPr>
      <w:r>
        <w:rPr>
          <w:rFonts w:ascii="Times New Roman" w:cs="Times New Roman" w:eastAsia="Times New Roman" w:hAnsi="Times New Roman"/>
          <w:sz w:val="24"/>
          <w:szCs w:val="24"/>
        </w:rPr>
        <w:t xml:space="preserve">Fase quarta — Omissioni, collusioni, insabbiamenti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Cap.</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Asserzione portante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Grado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Che cosa lo smentirebbe</w:t>
            </w:r>
          </w:p>
        </w:tc>
      </w:tr>
      <w:tr>
        <w:tc>
          <w:tcPr>
            <w:tcW w:type="dxa" w:w="2340"/>
          </w:tcPr>
          <w:p>
            <w:pPr>
              <w:spacing w:after="20" w:before="20"/>
              <w:jc w:val="left"/>
            </w:pPr>
            <w:r>
              <w:rPr>
                <w:rFonts w:ascii="Times New Roman" w:cs="Times New Roman" w:eastAsia="Times New Roman" w:hAnsi="Times New Roman"/>
                <w:sz w:val="20"/>
                <w:szCs w:val="20"/>
              </w:rPr>
              <w:t xml:space="preserve">31</w:t>
            </w:r>
          </w:p>
        </w:tc>
        <w:tc>
          <w:tcPr>
            <w:tcW w:type="dxa" w:w="2340"/>
          </w:tcPr>
          <w:p>
            <w:pPr>
              <w:spacing w:after="20" w:before="20"/>
              <w:jc w:val="left"/>
            </w:pPr>
            <w:r>
              <w:rPr>
                <w:rFonts w:ascii="Times New Roman" w:cs="Times New Roman" w:eastAsia="Times New Roman" w:hAnsi="Times New Roman"/>
                <w:sz w:val="20"/>
                <w:szCs w:val="20"/>
              </w:rPr>
              <w:t xml:space="preserve">La macchina delle ricerche e il suo fallimento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i fatti; il </w:t>
            </w:r>
            <w:r>
              <w:rPr>
                <w:rFonts w:ascii="Times New Roman" w:cs="Times New Roman" w:eastAsia="Times New Roman" w:hAnsi="Times New Roman"/>
                <w:i/>
                <w:iCs/>
                <w:sz w:val="20"/>
                <w:szCs w:val="20"/>
              </w:rPr>
              <w:t xml:space="preserve">dolo</w:t>
            </w:r>
            <w:r>
              <w:rPr>
                <w:rFonts w:ascii="Times New Roman" w:cs="Times New Roman" w:eastAsia="Times New Roman" w:hAnsi="Times New Roman"/>
                <w:sz w:val="20"/>
                <w:szCs w:val="20"/>
              </w:rPr>
              <w:t xml:space="preserve"> delle singole falle resta </w:t>
            </w:r>
            <w:r>
              <w:rPr>
                <w:rFonts w:ascii="Times New Roman" w:cs="Times New Roman" w:eastAsia="Times New Roman" w:hAnsi="Times New Roman"/>
                <w:b/>
                <w:bCs/>
                <w:sz w:val="20"/>
                <w:szCs w:val="20"/>
              </w:rPr>
              <w:t xml:space="preserve">B/C</w:t>
            </w:r>
          </w:p>
        </w:tc>
        <w:tc>
          <w:tcPr>
            <w:tcW w:type="dxa" w:w="2340"/>
          </w:tcPr>
          <w:p>
            <w:pPr>
              <w:spacing w:after="20" w:before="20"/>
              <w:jc w:val="left"/>
            </w:pPr>
            <w:r>
              <w:rPr>
                <w:rFonts w:ascii="Times New Roman" w:cs="Times New Roman" w:eastAsia="Times New Roman" w:hAnsi="Times New Roman"/>
                <w:sz w:val="20"/>
                <w:szCs w:val="20"/>
              </w:rPr>
              <w:t xml:space="preserve">Documento che leghi una falla a una direttiva</w:t>
            </w:r>
          </w:p>
        </w:tc>
      </w:tr>
      <w:tr>
        <w:tc>
          <w:tcPr>
            <w:tcW w:type="dxa" w:w="2340"/>
          </w:tcPr>
          <w:p>
            <w:pPr>
              <w:spacing w:after="20" w:before="20"/>
              <w:jc w:val="left"/>
            </w:pPr>
            <w:r>
              <w:rPr>
                <w:rFonts w:ascii="Times New Roman" w:cs="Times New Roman" w:eastAsia="Times New Roman" w:hAnsi="Times New Roman"/>
                <w:sz w:val="20"/>
                <w:szCs w:val="20"/>
              </w:rPr>
              <w:t xml:space="preserve">32</w:t>
            </w:r>
          </w:p>
        </w:tc>
        <w:tc>
          <w:tcPr>
            <w:tcW w:type="dxa" w:w="2340"/>
          </w:tcPr>
          <w:p>
            <w:pPr>
              <w:spacing w:after="20" w:before="20"/>
              <w:jc w:val="left"/>
            </w:pPr>
            <w:r>
              <w:rPr>
                <w:rFonts w:ascii="Times New Roman" w:cs="Times New Roman" w:eastAsia="Times New Roman" w:hAnsi="Times New Roman"/>
                <w:sz w:val="20"/>
                <w:szCs w:val="20"/>
              </w:rPr>
              <w:t xml:space="preserve">Via Gradoli: fatti accertati; la «coincidenza» della seduta spiritica</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i fatti; </w:t>
            </w:r>
            <w:r>
              <w:rPr>
                <w:rFonts w:ascii="Times New Roman" w:cs="Times New Roman" w:eastAsia="Times New Roman" w:hAnsi="Times New Roman"/>
                <w:b/>
                <w:bCs/>
                <w:sz w:val="20"/>
                <w:szCs w:val="20"/>
              </w:rPr>
              <w:t xml:space="preserve">C</w:t>
            </w:r>
            <w:r>
              <w:rPr>
                <w:rFonts w:ascii="Times New Roman" w:cs="Times New Roman" w:eastAsia="Times New Roman" w:hAnsi="Times New Roman"/>
                <w:sz w:val="20"/>
                <w:szCs w:val="20"/>
              </w:rPr>
              <w:t xml:space="preserve"> la lettura non innocente</w:t>
            </w:r>
          </w:p>
        </w:tc>
        <w:tc>
          <w:tcPr>
            <w:tcW w:type="dxa" w:w="2340"/>
          </w:tcPr>
          <w:p>
            <w:pPr>
              <w:spacing w:after="20" w:before="20"/>
              <w:jc w:val="left"/>
            </w:pPr>
            <w:r>
              <w:rPr>
                <w:rFonts w:ascii="Times New Roman" w:cs="Times New Roman" w:eastAsia="Times New Roman" w:hAnsi="Times New Roman"/>
                <w:sz w:val="20"/>
                <w:szCs w:val="20"/>
              </w:rPr>
              <w:t xml:space="preserve">Documento che provi una fonte informata dietro il nome</w:t>
            </w:r>
          </w:p>
        </w:tc>
      </w:tr>
      <w:tr>
        <w:tc>
          <w:tcPr>
            <w:tcW w:type="dxa" w:w="2340"/>
          </w:tcPr>
          <w:p>
            <w:pPr>
              <w:spacing w:after="20" w:before="20"/>
              <w:jc w:val="left"/>
            </w:pPr>
            <w:r>
              <w:rPr>
                <w:rFonts w:ascii="Times New Roman" w:cs="Times New Roman" w:eastAsia="Times New Roman" w:hAnsi="Times New Roman"/>
                <w:sz w:val="20"/>
                <w:szCs w:val="20"/>
              </w:rPr>
              <w:t xml:space="preserve">33</w:t>
            </w:r>
          </w:p>
        </w:tc>
        <w:tc>
          <w:tcPr>
            <w:tcW w:type="dxa" w:w="2340"/>
          </w:tcPr>
          <w:p>
            <w:pPr>
              <w:spacing w:after="20" w:before="20"/>
              <w:jc w:val="left"/>
            </w:pPr>
            <w:r>
              <w:rPr>
                <w:rFonts w:ascii="Times New Roman" w:cs="Times New Roman" w:eastAsia="Times New Roman" w:hAnsi="Times New Roman"/>
                <w:sz w:val="20"/>
                <w:szCs w:val="20"/>
              </w:rPr>
              <w:t xml:space="preserve">Il falso comunicato n. 7 del lago della Duchessa</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l'esistenza e la falsità del comunicato; </w:t>
            </w:r>
            <w:r>
              <w:rPr>
                <w:rFonts w:ascii="Times New Roman" w:cs="Times New Roman" w:eastAsia="Times New Roman" w:hAnsi="Times New Roman"/>
                <w:b/>
                <w:bCs/>
                <w:sz w:val="20"/>
                <w:szCs w:val="20"/>
              </w:rPr>
              <w:t xml:space="preserve">B/C</w:t>
            </w:r>
            <w:r>
              <w:rPr>
                <w:rFonts w:ascii="Times New Roman" w:cs="Times New Roman" w:eastAsia="Times New Roman" w:hAnsi="Times New Roman"/>
                <w:sz w:val="20"/>
                <w:szCs w:val="20"/>
              </w:rPr>
              <w:t xml:space="preserve"> la regia</w:t>
            </w:r>
          </w:p>
        </w:tc>
        <w:tc>
          <w:tcPr>
            <w:tcW w:type="dxa" w:w="2340"/>
          </w:tcPr>
          <w:p>
            <w:pPr>
              <w:spacing w:after="20" w:before="20"/>
              <w:jc w:val="left"/>
            </w:pPr>
            <w:r>
              <w:rPr>
                <w:rFonts w:ascii="Times New Roman" w:cs="Times New Roman" w:eastAsia="Times New Roman" w:hAnsi="Times New Roman"/>
                <w:sz w:val="20"/>
                <w:szCs w:val="20"/>
              </w:rPr>
              <w:t xml:space="preserve">Atti che identifichino con prova gli autori del falso</w:t>
            </w:r>
          </w:p>
        </w:tc>
      </w:tr>
      <w:tr>
        <w:tc>
          <w:tcPr>
            <w:tcW w:type="dxa" w:w="2340"/>
          </w:tcPr>
          <w:p>
            <w:pPr>
              <w:spacing w:after="20" w:before="20"/>
              <w:jc w:val="left"/>
            </w:pPr>
            <w:r>
              <w:rPr>
                <w:rFonts w:ascii="Times New Roman" w:cs="Times New Roman" w:eastAsia="Times New Roman" w:hAnsi="Times New Roman"/>
                <w:sz w:val="20"/>
                <w:szCs w:val="20"/>
              </w:rPr>
              <w:t xml:space="preserve">34</w:t>
            </w:r>
          </w:p>
        </w:tc>
        <w:tc>
          <w:tcPr>
            <w:tcW w:type="dxa" w:w="2340"/>
          </w:tcPr>
          <w:p>
            <w:pPr>
              <w:spacing w:after="20" w:before="20"/>
              <w:jc w:val="left"/>
            </w:pPr>
            <w:r>
              <w:rPr>
                <w:rFonts w:ascii="Times New Roman" w:cs="Times New Roman" w:eastAsia="Times New Roman" w:hAnsi="Times New Roman"/>
                <w:sz w:val="20"/>
                <w:szCs w:val="20"/>
              </w:rPr>
              <w:t xml:space="preserve">I comitati di crisi e le appartenenze occulte (P2) dei partecipanti</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le appartenenze documentate; </w:t>
            </w:r>
            <w:r>
              <w:rPr>
                <w:rFonts w:ascii="Times New Roman" w:cs="Times New Roman" w:eastAsia="Times New Roman" w:hAnsi="Times New Roman"/>
                <w:b/>
                <w:bCs/>
                <w:sz w:val="20"/>
                <w:szCs w:val="20"/>
              </w:rPr>
              <w:t xml:space="preserve">B/C</w:t>
            </w:r>
            <w:r>
              <w:rPr>
                <w:rFonts w:ascii="Times New Roman" w:cs="Times New Roman" w:eastAsia="Times New Roman" w:hAnsi="Times New Roman"/>
                <w:sz w:val="20"/>
                <w:szCs w:val="20"/>
              </w:rPr>
              <w:t xml:space="preserve"> la loro incidenza sull'esito</w:t>
            </w:r>
          </w:p>
        </w:tc>
        <w:tc>
          <w:tcPr>
            <w:tcW w:type="dxa" w:w="2340"/>
          </w:tcPr>
          <w:p>
            <w:pPr>
              <w:spacing w:after="20" w:before="20"/>
              <w:jc w:val="left"/>
            </w:pPr>
            <w:r>
              <w:rPr>
                <w:rFonts w:ascii="Times New Roman" w:cs="Times New Roman" w:eastAsia="Times New Roman" w:hAnsi="Times New Roman"/>
                <w:sz w:val="20"/>
                <w:szCs w:val="20"/>
              </w:rPr>
              <w:t xml:space="preserve">Prova che una decisione sia stata piegata da un'appartenenza</w:t>
            </w:r>
          </w:p>
        </w:tc>
      </w:tr>
      <w:tr>
        <w:tc>
          <w:tcPr>
            <w:tcW w:type="dxa" w:w="2340"/>
          </w:tcPr>
          <w:p>
            <w:pPr>
              <w:spacing w:after="20" w:before="20"/>
              <w:jc w:val="left"/>
            </w:pPr>
            <w:r>
              <w:rPr>
                <w:rFonts w:ascii="Times New Roman" w:cs="Times New Roman" w:eastAsia="Times New Roman" w:hAnsi="Times New Roman"/>
                <w:sz w:val="20"/>
                <w:szCs w:val="20"/>
              </w:rPr>
              <w:t xml:space="preserve">35</w:t>
            </w:r>
          </w:p>
        </w:tc>
        <w:tc>
          <w:tcPr>
            <w:tcW w:type="dxa" w:w="2340"/>
          </w:tcPr>
          <w:p>
            <w:pPr>
              <w:spacing w:after="20" w:before="20"/>
              <w:jc w:val="left"/>
            </w:pPr>
            <w:r>
              <w:rPr>
                <w:rFonts w:ascii="Times New Roman" w:cs="Times New Roman" w:eastAsia="Times New Roman" w:hAnsi="Times New Roman"/>
                <w:sz w:val="20"/>
                <w:szCs w:val="20"/>
              </w:rPr>
              <w:t xml:space="preserve">Le omissioni: l'accertato distinto dall'ipotizzato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le omissioni accertate;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rPr>
              <w:t xml:space="preserve"> le ipotizzate</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36</w:t>
            </w:r>
          </w:p>
        </w:tc>
        <w:tc>
          <w:tcPr>
            <w:tcW w:type="dxa" w:w="2340"/>
          </w:tcPr>
          <w:p>
            <w:pPr>
              <w:spacing w:after="20" w:before="20"/>
              <w:jc w:val="left"/>
            </w:pPr>
            <w:r>
              <w:rPr>
                <w:rFonts w:ascii="Times New Roman" w:cs="Times New Roman" w:eastAsia="Times New Roman" w:hAnsi="Times New Roman"/>
                <w:sz w:val="20"/>
                <w:szCs w:val="20"/>
              </w:rPr>
              <w:t xml:space="preserve">Collusioni e insabbiamenti: la lunga coda della verità</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la sequenza di depistaggi accertati</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37</w:t>
            </w:r>
          </w:p>
        </w:tc>
        <w:tc>
          <w:tcPr>
            <w:tcW w:type="dxa" w:w="2340"/>
          </w:tcPr>
          <w:p>
            <w:pPr>
              <w:spacing w:after="20" w:before="20"/>
              <w:jc w:val="left"/>
            </w:pPr>
            <w:r>
              <w:rPr>
                <w:rFonts w:ascii="Times New Roman" w:cs="Times New Roman" w:eastAsia="Times New Roman" w:hAnsi="Times New Roman"/>
                <w:sz w:val="20"/>
                <w:szCs w:val="20"/>
              </w:rPr>
              <w:t xml:space="preserve">Le Commissioni d'inchiesta e la non unanimità</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Atti parlamentari di segno contrario</w:t>
            </w:r>
          </w:p>
        </w:tc>
      </w:tr>
      <w:tr>
        <w:tc>
          <w:tcPr>
            <w:tcW w:type="dxa" w:w="2340"/>
          </w:tcPr>
          <w:p>
            <w:pPr>
              <w:spacing w:after="20" w:before="20"/>
              <w:jc w:val="left"/>
            </w:pPr>
            <w:r>
              <w:rPr>
                <w:rFonts w:ascii="Times New Roman" w:cs="Times New Roman" w:eastAsia="Times New Roman" w:hAnsi="Times New Roman"/>
                <w:sz w:val="20"/>
                <w:szCs w:val="20"/>
              </w:rPr>
              <w:t xml:space="preserve">38</w:t>
            </w:r>
          </w:p>
        </w:tc>
        <w:tc>
          <w:tcPr>
            <w:tcW w:type="dxa" w:w="2340"/>
          </w:tcPr>
          <w:p>
            <w:pPr>
              <w:spacing w:after="20" w:before="20"/>
              <w:jc w:val="left"/>
            </w:pPr>
            <w:r>
              <w:rPr>
                <w:rFonts w:ascii="Times New Roman" w:cs="Times New Roman" w:eastAsia="Times New Roman" w:hAnsi="Times New Roman"/>
                <w:sz w:val="20"/>
                <w:szCs w:val="20"/>
              </w:rPr>
              <w:t xml:space="preserve">Tipologia dei depistaggi e l'impunità delle ostruzioni</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39</w:t>
            </w:r>
          </w:p>
        </w:tc>
        <w:tc>
          <w:tcPr>
            <w:tcW w:type="dxa" w:w="2340"/>
          </w:tcPr>
          <w:p>
            <w:pPr>
              <w:spacing w:after="20" w:before="20"/>
              <w:jc w:val="left"/>
            </w:pPr>
            <w:r>
              <w:rPr>
                <w:rFonts w:ascii="Times New Roman" w:cs="Times New Roman" w:eastAsia="Times New Roman" w:hAnsi="Times New Roman"/>
                <w:b/>
                <w:bCs/>
                <w:sz w:val="20"/>
                <w:szCs w:val="20"/>
              </w:rPr>
              <w:t xml:space="preserve">Gli Stati Zero del caso: il perimetro negativo</w:t>
            </w:r>
          </w:p>
        </w:tc>
        <w:tc>
          <w:tcPr>
            <w:tcW w:type="dxa" w:w="2340"/>
          </w:tcPr>
          <w:p>
            <w:pPr>
              <w:spacing w:after="20" w:before="20"/>
              <w:jc w:val="left"/>
            </w:pPr>
            <w:r>
              <w:rPr>
                <w:rFonts w:ascii="Times New Roman" w:cs="Times New Roman" w:eastAsia="Times New Roman" w:hAnsi="Times New Roman"/>
                <w:b/>
                <w:bCs/>
                <w:sz w:val="20"/>
                <w:szCs w:val="20"/>
              </w:rPr>
              <w:t xml:space="preserve">Ø</w:t>
            </w:r>
          </w:p>
        </w:tc>
        <w:tc>
          <w:tcPr>
            <w:tcW w:type="dxa" w:w="2340"/>
          </w:tcPr>
          <w:p>
            <w:pPr>
              <w:spacing w:after="20" w:before="20"/>
              <w:jc w:val="left"/>
            </w:pPr>
            <w:r>
              <w:rPr>
                <w:rFonts w:ascii="Times New Roman" w:cs="Times New Roman" w:eastAsia="Times New Roman" w:hAnsi="Times New Roman"/>
                <w:sz w:val="20"/>
                <w:szCs w:val="20"/>
              </w:rPr>
              <w:t xml:space="preserve">La comparsa del documento oggi assente prometterebbe uno Stato Zero verso B/A</w:t>
            </w:r>
          </w:p>
        </w:tc>
      </w:tr>
      <w:tr>
        <w:tc>
          <w:tcPr>
            <w:tcW w:type="dxa" w:w="2340"/>
          </w:tcPr>
          <w:p>
            <w:pPr>
              <w:spacing w:after="20" w:before="20"/>
              <w:jc w:val="left"/>
            </w:pPr>
            <w:r>
              <w:rPr>
                <w:rFonts w:ascii="Times New Roman" w:cs="Times New Roman" w:eastAsia="Times New Roman" w:hAnsi="Times New Roman"/>
                <w:sz w:val="20"/>
                <w:szCs w:val="20"/>
              </w:rPr>
              <w:t xml:space="preserve">40</w:t>
            </w:r>
          </w:p>
        </w:tc>
        <w:tc>
          <w:tcPr>
            <w:tcW w:type="dxa" w:w="2340"/>
          </w:tcPr>
          <w:p>
            <w:pPr>
              <w:spacing w:after="20" w:before="20"/>
              <w:jc w:val="left"/>
            </w:pPr>
            <w:r>
              <w:rPr>
                <w:rFonts w:ascii="Times New Roman" w:cs="Times New Roman" w:eastAsia="Times New Roman" w:hAnsi="Times New Roman"/>
                <w:sz w:val="20"/>
                <w:szCs w:val="20"/>
              </w:rPr>
              <w:t xml:space="preserve">Il confine del metodo: dove il Pollo di Popper si arresta</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w:t>
            </w:r>
          </w:p>
        </w:tc>
      </w:tr>
    </w:tbl>
    <w:p>
      <w:pPr>
        <w:spacing w:after="80"/>
      </w:pPr>
    </w:p>
    <w:p>
      <w:pPr>
        <w:pStyle w:val="Heading2"/>
        <w:spacing w:after="100" w:before="200"/>
      </w:pPr>
      <w:r>
        <w:rPr>
          <w:rFonts w:ascii="Times New Roman" w:cs="Times New Roman" w:eastAsia="Times New Roman" w:hAnsi="Times New Roman"/>
          <w:sz w:val="24"/>
          <w:szCs w:val="24"/>
        </w:rPr>
        <w:t xml:space="preserve">Fase quinta — Architetti, mandanti, esecutori</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Nota dell'apparato, prevalente su ogni riga che segue.</w:t>
      </w:r>
      <w:r>
        <w:rPr>
          <w:rFonts w:ascii="Times New Roman" w:cs="Times New Roman" w:eastAsia="Times New Roman" w:hAnsi="Times New Roman"/>
          <w:i w:val="false"/>
          <w:iCs w:val="false"/>
          <w:sz w:val="24"/>
          <w:szCs w:val="24"/>
        </w:rPr>
        <w:t xml:space="preserve"> Dalla dichiarazione del capitolo quarantunesimo, questa fase </w:t>
      </w:r>
      <w:r>
        <w:rPr>
          <w:rFonts w:ascii="Times New Roman" w:cs="Times New Roman" w:eastAsia="Times New Roman" w:hAnsi="Times New Roman"/>
          <w:b/>
          <w:bCs/>
          <w:i w:val="false"/>
          <w:iCs w:val="false"/>
          <w:sz w:val="24"/>
          <w:szCs w:val="24"/>
        </w:rPr>
        <w:t xml:space="preserve">congeda la disciplina falsificazionista</w:t>
      </w:r>
      <w:r>
        <w:rPr>
          <w:rFonts w:ascii="Times New Roman" w:cs="Times New Roman" w:eastAsia="Times New Roman" w:hAnsi="Times New Roman"/>
          <w:i w:val="false"/>
          <w:iCs w:val="false"/>
          <w:sz w:val="24"/>
          <w:szCs w:val="24"/>
        </w:rPr>
        <w:t xml:space="preserve"> e passa alla probabilità ipotetica. L'apparato la registra perciò, nella sua parte propria (l'ordinamento per probabilità), al </w:t>
      </w:r>
      <w:r>
        <w:rPr>
          <w:rFonts w:ascii="Times New Roman" w:cs="Times New Roman" w:eastAsia="Times New Roman" w:hAnsi="Times New Roman"/>
          <w:b/>
          <w:bCs/>
          <w:i w:val="false"/>
          <w:iCs w:val="false"/>
          <w:sz w:val="24"/>
          <w:szCs w:val="24"/>
        </w:rPr>
        <w:t xml:space="preserve">Livello C</w:t>
      </w:r>
      <w:r>
        <w:rPr>
          <w:rFonts w:ascii="Times New Roman" w:cs="Times New Roman" w:eastAsia="Times New Roman" w:hAnsi="Times New Roman"/>
          <w:i w:val="false"/>
          <w:iCs w:val="false"/>
          <w:sz w:val="24"/>
          <w:szCs w:val="24"/>
        </w:rPr>
        <w:t xml:space="preserve">: è congettura ordinata, non accertamento. Fanno eccezione, e restano al </w:t>
      </w:r>
      <w:r>
        <w:rPr>
          <w:rFonts w:ascii="Times New Roman" w:cs="Times New Roman" w:eastAsia="Times New Roman" w:hAnsi="Times New Roman"/>
          <w:b/>
          <w:bCs/>
          <w:i w:val="false"/>
          <w:iCs w:val="false"/>
          <w:sz w:val="24"/>
          <w:szCs w:val="24"/>
        </w:rPr>
        <w:t xml:space="preserve">Livello A</w:t>
      </w:r>
      <w:r>
        <w:rPr>
          <w:rFonts w:ascii="Times New Roman" w:cs="Times New Roman" w:eastAsia="Times New Roman" w:hAnsi="Times New Roman"/>
          <w:i w:val="false"/>
          <w:iCs w:val="false"/>
          <w:sz w:val="24"/>
          <w:szCs w:val="24"/>
        </w:rPr>
        <w:t xml:space="preserve">, i soli elementi che poggiano su </w:t>
      </w:r>
      <w:r>
        <w:rPr>
          <w:rFonts w:ascii="Times New Roman" w:cs="Times New Roman" w:eastAsia="Times New Roman" w:hAnsi="Times New Roman"/>
          <w:b/>
          <w:bCs/>
          <w:i w:val="false"/>
          <w:iCs w:val="false"/>
          <w:sz w:val="24"/>
          <w:szCs w:val="24"/>
        </w:rPr>
        <w:t xml:space="preserve">sentenze definitive</w:t>
      </w:r>
      <w:r>
        <w:rPr>
          <w:rFonts w:ascii="Times New Roman" w:cs="Times New Roman" w:eastAsia="Times New Roman" w:hAnsi="Times New Roman"/>
          <w:i w:val="false"/>
          <w:iCs w:val="false"/>
          <w:sz w:val="24"/>
          <w:szCs w:val="24"/>
        </w:rPr>
        <w:t xml:space="preserve"> — l'identità degli esecutori e del vertice brigatista già giudicati. L'apparato </w:t>
      </w:r>
      <w:r>
        <w:rPr>
          <w:rFonts w:ascii="Times New Roman" w:cs="Times New Roman" w:eastAsia="Times New Roman" w:hAnsi="Times New Roman"/>
          <w:b/>
          <w:bCs/>
          <w:i w:val="false"/>
          <w:iCs w:val="false"/>
          <w:sz w:val="24"/>
          <w:szCs w:val="24"/>
        </w:rPr>
        <w:t xml:space="preserve">non riproduce la graduatoria e non ordina nomi</w:t>
      </w:r>
      <w:r>
        <w:rPr>
          <w:rFonts w:ascii="Times New Roman" w:cs="Times New Roman" w:eastAsia="Times New Roman" w:hAnsi="Times New Roman"/>
          <w:i w:val="false"/>
          <w:iCs w:val="false"/>
          <w:sz w:val="24"/>
          <w:szCs w:val="24"/>
        </w:rPr>
        <w:t xml:space="preserve">: registra i gradi, non i sospetti.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Cap.</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Asserzione portante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Grado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Che cosa lo smentirebbe</w:t>
            </w:r>
          </w:p>
        </w:tc>
      </w:tr>
      <w:tr>
        <w:tc>
          <w:tcPr>
            <w:tcW w:type="dxa" w:w="2340"/>
          </w:tcPr>
          <w:p>
            <w:pPr>
              <w:spacing w:after="20" w:before="20"/>
              <w:jc w:val="left"/>
            </w:pPr>
            <w:r>
              <w:rPr>
                <w:rFonts w:ascii="Times New Roman" w:cs="Times New Roman" w:eastAsia="Times New Roman" w:hAnsi="Times New Roman"/>
                <w:sz w:val="20"/>
                <w:szCs w:val="20"/>
              </w:rPr>
              <w:t xml:space="preserve">41</w:t>
            </w:r>
          </w:p>
        </w:tc>
        <w:tc>
          <w:tcPr>
            <w:tcW w:type="dxa" w:w="2340"/>
          </w:tcPr>
          <w:p>
            <w:pPr>
              <w:spacing w:after="20" w:before="20"/>
              <w:jc w:val="left"/>
            </w:pPr>
            <w:r>
              <w:rPr>
                <w:rFonts w:ascii="Times New Roman" w:cs="Times New Roman" w:eastAsia="Times New Roman" w:hAnsi="Times New Roman"/>
                <w:sz w:val="20"/>
                <w:szCs w:val="20"/>
              </w:rPr>
              <w:t xml:space="preserve">Il mutamento di metodo: dalla sospensione alla probabilità</w:t>
            </w:r>
          </w:p>
        </w:tc>
        <w:tc>
          <w:tcPr>
            <w:tcW w:type="dxa" w:w="2340"/>
          </w:tcPr>
          <w:p>
            <w:pPr>
              <w:spacing w:after="20" w:before="20"/>
              <w:jc w:val="left"/>
            </w:pPr>
            <w:r>
              <w:rPr>
                <w:rFonts w:ascii="Times New Roman" w:cs="Times New Roman" w:eastAsia="Times New Roman" w:hAnsi="Times New Roman"/>
                <w:b/>
                <w:bCs/>
                <w:sz w:val="20"/>
                <w:szCs w:val="20"/>
              </w:rPr>
              <w:t xml:space="preserve">M</w:t>
            </w:r>
            <w:r>
              <w:rPr>
                <w:rFonts w:ascii="Times New Roman" w:cs="Times New Roman" w:eastAsia="Times New Roman" w:hAnsi="Times New Roman"/>
                <w:sz w:val="20"/>
                <w:szCs w:val="20"/>
              </w:rPr>
              <w:t xml:space="preserve"> (dichiarazione)</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42</w:t>
            </w:r>
          </w:p>
        </w:tc>
        <w:tc>
          <w:tcPr>
            <w:tcW w:type="dxa" w:w="2340"/>
          </w:tcPr>
          <w:p>
            <w:pPr>
              <w:spacing w:after="20" w:before="20"/>
              <w:jc w:val="left"/>
            </w:pPr>
            <w:r>
              <w:rPr>
                <w:rFonts w:ascii="Times New Roman" w:cs="Times New Roman" w:eastAsia="Times New Roman" w:hAnsi="Times New Roman"/>
                <w:sz w:val="20"/>
                <w:szCs w:val="20"/>
              </w:rPr>
              <w:t xml:space="preserve">I dieci strumenti di calcolo e il loro concorso</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43</w:t>
            </w:r>
          </w:p>
        </w:tc>
        <w:tc>
          <w:tcPr>
            <w:tcW w:type="dxa" w:w="2340"/>
          </w:tcPr>
          <w:p>
            <w:pPr>
              <w:spacing w:after="20" w:before="20"/>
              <w:jc w:val="left"/>
            </w:pPr>
            <w:r>
              <w:rPr>
                <w:rFonts w:ascii="Times New Roman" w:cs="Times New Roman" w:eastAsia="Times New Roman" w:hAnsi="Times New Roman"/>
                <w:sz w:val="20"/>
                <w:szCs w:val="20"/>
              </w:rPr>
              <w:t xml:space="preserve">Avvertimento sul tono; il debito col registro dell'enigma</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44</w:t>
            </w:r>
          </w:p>
        </w:tc>
        <w:tc>
          <w:tcPr>
            <w:tcW w:type="dxa" w:w="2340"/>
          </w:tcPr>
          <w:p>
            <w:pPr>
              <w:spacing w:after="20" w:before="20"/>
              <w:jc w:val="left"/>
            </w:pPr>
            <w:r>
              <w:rPr>
                <w:rFonts w:ascii="Times New Roman" w:cs="Times New Roman" w:eastAsia="Times New Roman" w:hAnsi="Times New Roman"/>
                <w:sz w:val="20"/>
                <w:szCs w:val="20"/>
              </w:rPr>
              <w:t xml:space="preserve">Gli esecutori materiali</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limitatamente ai giudicati in via definitiva</w:t>
            </w:r>
            <w:r>
              <w:rPr>
                <w:rFonts w:ascii="Times New Roman" w:cs="Times New Roman" w:eastAsia="Times New Roman" w:hAnsi="Times New Roman"/>
                <w:sz w:val="20"/>
                <w:szCs w:val="20"/>
              </w:rPr>
              <w:t xml:space="preserve">; ogni estensione oltre il giudicato è </w:t>
            </w:r>
            <w:r>
              <w:rPr>
                <w:rFonts w:ascii="Times New Roman" w:cs="Times New Roman" w:eastAsia="Times New Roman" w:hAnsi="Times New Roman"/>
                <w:b/>
                <w:bCs/>
                <w:sz w:val="20"/>
                <w:szCs w:val="20"/>
              </w:rPr>
              <w:t xml:space="preserve">C</w:t>
            </w:r>
          </w:p>
        </w:tc>
        <w:tc>
          <w:tcPr>
            <w:tcW w:type="dxa" w:w="2340"/>
          </w:tcPr>
          <w:p>
            <w:pPr>
              <w:spacing w:after="20" w:before="20"/>
              <w:jc w:val="left"/>
            </w:pPr>
            <w:r>
              <w:rPr>
                <w:rFonts w:ascii="Times New Roman" w:cs="Times New Roman" w:eastAsia="Times New Roman" w:hAnsi="Times New Roman"/>
                <w:sz w:val="20"/>
                <w:szCs w:val="20"/>
              </w:rPr>
              <w:t xml:space="preserve">Revisione giudiziaria; per le estensioni, un documento oggi assente</w:t>
            </w:r>
          </w:p>
        </w:tc>
      </w:tr>
      <w:tr>
        <w:tc>
          <w:tcPr>
            <w:tcW w:type="dxa" w:w="2340"/>
          </w:tcPr>
          <w:p>
            <w:pPr>
              <w:spacing w:after="20" w:before="20"/>
              <w:jc w:val="left"/>
            </w:pPr>
            <w:r>
              <w:rPr>
                <w:rFonts w:ascii="Times New Roman" w:cs="Times New Roman" w:eastAsia="Times New Roman" w:hAnsi="Times New Roman"/>
                <w:sz w:val="20"/>
                <w:szCs w:val="20"/>
              </w:rPr>
              <w:t xml:space="preserve">45</w:t>
            </w:r>
          </w:p>
        </w:tc>
        <w:tc>
          <w:tcPr>
            <w:tcW w:type="dxa" w:w="2340"/>
          </w:tcPr>
          <w:p>
            <w:pPr>
              <w:spacing w:after="20" w:before="20"/>
              <w:jc w:val="left"/>
            </w:pPr>
            <w:r>
              <w:rPr>
                <w:rFonts w:ascii="Times New Roman" w:cs="Times New Roman" w:eastAsia="Times New Roman" w:hAnsi="Times New Roman"/>
                <w:sz w:val="20"/>
                <w:szCs w:val="20"/>
              </w:rPr>
              <w:t xml:space="preserve">I mandanti materiali (il vertice brigatista)</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per il comitato esecutivo BR giudicato</w:t>
            </w:r>
            <w:r>
              <w:rPr>
                <w:rFonts w:ascii="Times New Roman" w:cs="Times New Roman" w:eastAsia="Times New Roman" w:hAnsi="Times New Roman"/>
                <w:sz w:val="20"/>
                <w:szCs w:val="20"/>
              </w:rPr>
              <w:t xml:space="preserve">; oltre, </w:t>
            </w:r>
            <w:r>
              <w:rPr>
                <w:rFonts w:ascii="Times New Roman" w:cs="Times New Roman" w:eastAsia="Times New Roman" w:hAnsi="Times New Roman"/>
                <w:b/>
                <w:bCs/>
                <w:sz w:val="20"/>
                <w:szCs w:val="20"/>
              </w:rPr>
              <w:t xml:space="preserve">C</w:t>
            </w:r>
          </w:p>
        </w:tc>
        <w:tc>
          <w:tcPr>
            <w:tcW w:type="dxa" w:w="2340"/>
          </w:tcPr>
          <w:p>
            <w:pPr>
              <w:spacing w:after="20" w:before="20"/>
              <w:jc w:val="left"/>
            </w:pPr>
            <w:r>
              <w:rPr>
                <w:rFonts w:ascii="Times New Roman" w:cs="Times New Roman" w:eastAsia="Times New Roman" w:hAnsi="Times New Roman"/>
                <w:sz w:val="20"/>
                <w:szCs w:val="20"/>
              </w:rPr>
              <w:t xml:space="preserve">Idem</w:t>
            </w:r>
          </w:p>
        </w:tc>
      </w:tr>
      <w:tr>
        <w:tc>
          <w:tcPr>
            <w:tcW w:type="dxa" w:w="2340"/>
          </w:tcPr>
          <w:p>
            <w:pPr>
              <w:spacing w:after="20" w:before="20"/>
              <w:jc w:val="left"/>
            </w:pPr>
            <w:r>
              <w:rPr>
                <w:rFonts w:ascii="Times New Roman" w:cs="Times New Roman" w:eastAsia="Times New Roman" w:hAnsi="Times New Roman"/>
                <w:sz w:val="20"/>
                <w:szCs w:val="20"/>
              </w:rPr>
              <w:t xml:space="preserve">46</w:t>
            </w:r>
          </w:p>
        </w:tc>
        <w:tc>
          <w:tcPr>
            <w:tcW w:type="dxa" w:w="2340"/>
          </w:tcPr>
          <w:p>
            <w:pPr>
              <w:spacing w:after="20" w:before="20"/>
              <w:jc w:val="left"/>
            </w:pPr>
            <w:r>
              <w:rPr>
                <w:rFonts w:ascii="Times New Roman" w:cs="Times New Roman" w:eastAsia="Times New Roman" w:hAnsi="Times New Roman"/>
                <w:sz w:val="20"/>
                <w:szCs w:val="20"/>
              </w:rPr>
              <w:t xml:space="preserve">Gli architetti del disegno; la capacità progettuale autonoma delle BR</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l'autonomia progettuale; </w:t>
            </w:r>
            <w:r>
              <w:rPr>
                <w:rFonts w:ascii="Times New Roman" w:cs="Times New Roman" w:eastAsia="Times New Roman" w:hAnsi="Times New Roman"/>
                <w:b/>
                <w:bCs/>
                <w:sz w:val="20"/>
                <w:szCs w:val="20"/>
              </w:rPr>
              <w:t xml:space="preserve">C</w:t>
            </w:r>
            <w:r>
              <w:rPr>
                <w:rFonts w:ascii="Times New Roman" w:cs="Times New Roman" w:eastAsia="Times New Roman" w:hAnsi="Times New Roman"/>
                <w:sz w:val="20"/>
                <w:szCs w:val="20"/>
              </w:rPr>
              <w:t xml:space="preserve"> ogni «architetto» esterno</w:t>
            </w:r>
          </w:p>
        </w:tc>
        <w:tc>
          <w:tcPr>
            <w:tcW w:type="dxa" w:w="2340"/>
          </w:tcPr>
          <w:p>
            <w:pPr>
              <w:spacing w:after="20" w:before="20"/>
              <w:jc w:val="left"/>
            </w:pPr>
            <w:r>
              <w:rPr>
                <w:rFonts w:ascii="Times New Roman" w:cs="Times New Roman" w:eastAsia="Times New Roman" w:hAnsi="Times New Roman"/>
                <w:sz w:val="20"/>
                <w:szCs w:val="20"/>
              </w:rPr>
              <w:t xml:space="preserve">Documento di eterodirezione (Stato Zero, cfr. cap. 39)</w:t>
            </w:r>
          </w:p>
        </w:tc>
      </w:tr>
      <w:tr>
        <w:tc>
          <w:tcPr>
            <w:tcW w:type="dxa" w:w="2340"/>
          </w:tcPr>
          <w:p>
            <w:pPr>
              <w:spacing w:after="20" w:before="20"/>
              <w:jc w:val="left"/>
            </w:pPr>
            <w:r>
              <w:rPr>
                <w:rFonts w:ascii="Times New Roman" w:cs="Times New Roman" w:eastAsia="Times New Roman" w:hAnsi="Times New Roman"/>
                <w:sz w:val="20"/>
                <w:szCs w:val="20"/>
              </w:rPr>
              <w:t xml:space="preserve">47</w:t>
            </w:r>
          </w:p>
        </w:tc>
        <w:tc>
          <w:tcPr>
            <w:tcW w:type="dxa" w:w="2340"/>
          </w:tcPr>
          <w:p>
            <w:pPr>
              <w:spacing w:after="20" w:before="20"/>
              <w:jc w:val="left"/>
            </w:pPr>
            <w:r>
              <w:rPr>
                <w:rFonts w:ascii="Times New Roman" w:cs="Times New Roman" w:eastAsia="Times New Roman" w:hAnsi="Times New Roman"/>
                <w:sz w:val="20"/>
                <w:szCs w:val="20"/>
              </w:rPr>
              <w:t xml:space="preserve">La sintesi probabilistica dei tre piani</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il nucleo (BR idearono, ordinarono, eseguirono); </w:t>
            </w:r>
            <w:r>
              <w:rPr>
                <w:rFonts w:ascii="Times New Roman" w:cs="Times New Roman" w:eastAsia="Times New Roman" w:hAnsi="Times New Roman"/>
                <w:b/>
                <w:bCs/>
                <w:sz w:val="20"/>
                <w:szCs w:val="20"/>
              </w:rPr>
              <w:t xml:space="preserve">C</w:t>
            </w:r>
            <w:r>
              <w:rPr>
                <w:rFonts w:ascii="Times New Roman" w:cs="Times New Roman" w:eastAsia="Times New Roman" w:hAnsi="Times New Roman"/>
                <w:sz w:val="20"/>
                <w:szCs w:val="20"/>
              </w:rPr>
              <w:t xml:space="preserve"> l'ordinamento probabilistico ulteriore</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48</w:t>
            </w:r>
          </w:p>
        </w:tc>
        <w:tc>
          <w:tcPr>
            <w:tcW w:type="dxa" w:w="2340"/>
          </w:tcPr>
          <w:p>
            <w:pPr>
              <w:spacing w:after="20" w:before="20"/>
              <w:jc w:val="left"/>
            </w:pPr>
            <w:r>
              <w:rPr>
                <w:rFonts w:ascii="Times New Roman" w:cs="Times New Roman" w:eastAsia="Times New Roman" w:hAnsi="Times New Roman"/>
                <w:sz w:val="20"/>
                <w:szCs w:val="20"/>
              </w:rPr>
              <w:t xml:space="preserve">La graduatoria secondo i dieci metodi, con premessa garantista</w:t>
            </w:r>
          </w:p>
        </w:tc>
        <w:tc>
          <w:tcPr>
            <w:tcW w:type="dxa" w:w="2340"/>
          </w:tcPr>
          <w:p>
            <w:pPr>
              <w:spacing w:after="20" w:before="20"/>
              <w:jc w:val="left"/>
            </w:pPr>
            <w:r>
              <w:rPr>
                <w:rFonts w:ascii="Times New Roman" w:cs="Times New Roman" w:eastAsia="Times New Roman" w:hAnsi="Times New Roman"/>
                <w:b/>
                <w:bCs/>
                <w:sz w:val="20"/>
                <w:szCs w:val="20"/>
              </w:rPr>
              <w:t xml:space="preserve">C</w:t>
            </w:r>
            <w:r>
              <w:rPr>
                <w:rFonts w:ascii="Times New Roman" w:cs="Times New Roman" w:eastAsia="Times New Roman" w:hAnsi="Times New Roman"/>
                <w:sz w:val="20"/>
                <w:szCs w:val="20"/>
              </w:rPr>
              <w:t xml:space="preserve"> (per intero)</w:t>
            </w:r>
          </w:p>
        </w:tc>
        <w:tc>
          <w:tcPr>
            <w:tcW w:type="dxa" w:w="2340"/>
          </w:tcPr>
          <w:p>
            <w:pPr>
              <w:spacing w:after="20" w:before="20"/>
              <w:jc w:val="left"/>
            </w:pPr>
            <w:r>
              <w:rPr>
                <w:rFonts w:ascii="Times New Roman" w:cs="Times New Roman" w:eastAsia="Times New Roman" w:hAnsi="Times New Roman"/>
                <w:sz w:val="20"/>
                <w:szCs w:val="20"/>
              </w:rPr>
              <w:t xml:space="preserve">Non falsificabile come classifica; solo i singoli fatti sottostanti hanno grado proprio</w:t>
            </w:r>
          </w:p>
        </w:tc>
      </w:tr>
      <w:tr>
        <w:tc>
          <w:tcPr>
            <w:tcW w:type="dxa" w:w="2340"/>
          </w:tcPr>
          <w:p>
            <w:pPr>
              <w:spacing w:after="20" w:before="20"/>
              <w:jc w:val="left"/>
            </w:pPr>
            <w:r>
              <w:rPr>
                <w:rFonts w:ascii="Times New Roman" w:cs="Times New Roman" w:eastAsia="Times New Roman" w:hAnsi="Times New Roman"/>
                <w:sz w:val="20"/>
                <w:szCs w:val="20"/>
              </w:rPr>
              <w:t xml:space="preserve">49</w:t>
            </w:r>
          </w:p>
        </w:tc>
        <w:tc>
          <w:tcPr>
            <w:tcW w:type="dxa" w:w="2340"/>
          </w:tcPr>
          <w:p>
            <w:pPr>
              <w:spacing w:after="20" w:before="20"/>
              <w:jc w:val="left"/>
            </w:pPr>
            <w:r>
              <w:rPr>
                <w:rFonts w:ascii="Times New Roman" w:cs="Times New Roman" w:eastAsia="Times New Roman" w:hAnsi="Times New Roman"/>
                <w:sz w:val="20"/>
                <w:szCs w:val="20"/>
              </w:rPr>
              <w:t xml:space="preserve">Il peso dei metodi e l'emersione dei tre piani</w:t>
            </w:r>
          </w:p>
        </w:tc>
        <w:tc>
          <w:tcPr>
            <w:tcW w:type="dxa" w:w="2340"/>
          </w:tcPr>
          <w:p>
            <w:pPr>
              <w:spacing w:after="20" w:before="20"/>
              <w:jc w:val="left"/>
            </w:pPr>
            <w:r>
              <w:rPr>
                <w:rFonts w:ascii="Times New Roman" w:cs="Times New Roman" w:eastAsia="Times New Roman" w:hAnsi="Times New Roman"/>
                <w:b/>
                <w:bCs/>
                <w:sz w:val="20"/>
                <w:szCs w:val="20"/>
              </w:rPr>
              <w:t xml:space="preserve">C</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50</w:t>
            </w:r>
          </w:p>
        </w:tc>
        <w:tc>
          <w:tcPr>
            <w:tcW w:type="dxa" w:w="2340"/>
          </w:tcPr>
          <w:p>
            <w:pPr>
              <w:spacing w:after="20" w:before="20"/>
              <w:jc w:val="left"/>
            </w:pPr>
            <w:r>
              <w:rPr>
                <w:rFonts w:ascii="Times New Roman" w:cs="Times New Roman" w:eastAsia="Times New Roman" w:hAnsi="Times New Roman"/>
                <w:sz w:val="20"/>
                <w:szCs w:val="20"/>
              </w:rPr>
              <w:t xml:space="preserve">Congedo</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w:t>
            </w:r>
          </w:p>
        </w:tc>
      </w:tr>
    </w:tbl>
    <w:p>
      <w:pPr>
        <w:spacing w:after="80"/>
      </w:pP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Lettura d'insieme dell'apparato</w:t>
      </w:r>
    </w:p>
    <w:p>
      <w:pPr>
        <w:spacing w:after="120" w:line="276"/>
        <w:jc w:val="both"/>
      </w:pPr>
      <w:r>
        <w:rPr>
          <w:rFonts w:ascii="Times New Roman" w:cs="Times New Roman" w:eastAsia="Times New Roman" w:hAnsi="Times New Roman"/>
          <w:sz w:val="24"/>
          <w:szCs w:val="24"/>
        </w:rPr>
        <w:t xml:space="preserve">Disposti i cinquanta capitoli sulla scala dei gradi, la fisionomia dell'opera emerge con nettezza, e conferma il patto che essa dichiara:</w:t>
      </w:r>
    </w:p>
    <w:p>
      <w:pPr>
        <w:pStyle w:val="ListParagraph"/>
        <w:numPr>
          <w:ilvl w:val="0"/>
          <w:numId w:val="1"/>
        </w:numPr>
        <w:spacing w:after="40"/>
        <w:jc w:val="both"/>
      </w:pPr>
      <w:r>
        <w:rPr>
          <w:rFonts w:ascii="Times New Roman" w:cs="Times New Roman" w:eastAsia="Times New Roman" w:hAnsi="Times New Roman"/>
          <w:b/>
          <w:bCs/>
          <w:sz w:val="24"/>
          <w:szCs w:val="24"/>
        </w:rPr>
        <w:t xml:space="preserve">La stragrande maggioranza del corpo dell'opera — le Fasi prima, seconda, terza e quarta — poggia sul Livello A</w:t>
      </w:r>
      <w:r>
        <w:rPr>
          <w:rFonts w:ascii="Times New Roman" w:cs="Times New Roman" w:eastAsia="Times New Roman" w:hAnsi="Times New Roman"/>
          <w:sz w:val="24"/>
          <w:szCs w:val="24"/>
        </w:rPr>
        <w:t xml:space="preserve">: la biografia, il contesto, la meccanica del caso, i cinque della scorta, la prigionia, le lettere, il 9 maggio, le omissioni e i depistaggi accertati. Su tutto questo l'opera </w:t>
      </w:r>
      <w:r>
        <w:rPr>
          <w:rFonts w:ascii="Times New Roman" w:cs="Times New Roman" w:eastAsia="Times New Roman" w:hAnsi="Times New Roman"/>
          <w:i/>
          <w:iCs/>
          <w:sz w:val="24"/>
          <w:szCs w:val="24"/>
        </w:rPr>
        <w:t xml:space="preserve">certifica</w:t>
      </w:r>
      <w:r>
        <w:rPr>
          <w:rFonts w:ascii="Times New Roman" w:cs="Times New Roman" w:eastAsia="Times New Roman" w:hAnsi="Times New Roman"/>
          <w:sz w:val="24"/>
          <w:szCs w:val="24"/>
        </w:rPr>
        <w:t xml:space="preserve">, e l'apparato lo conferma.</w:t>
      </w:r>
    </w:p>
    <w:p>
      <w:pPr>
        <w:pStyle w:val="ListParagraph"/>
        <w:numPr>
          <w:ilvl w:val="0"/>
          <w:numId w:val="1"/>
        </w:numPr>
        <w:spacing w:after="40"/>
        <w:jc w:val="both"/>
      </w:pPr>
      <w:r>
        <w:rPr>
          <w:rFonts w:ascii="Times New Roman" w:cs="Times New Roman" w:eastAsia="Times New Roman" w:hAnsi="Times New Roman"/>
          <w:b/>
          <w:bCs/>
          <w:sz w:val="24"/>
          <w:szCs w:val="24"/>
        </w:rPr>
        <w:t xml:space="preserve">Il nucleo accertato è uno e non si sposta</w:t>
      </w:r>
      <w:r>
        <w:rPr>
          <w:rFonts w:ascii="Times New Roman" w:cs="Times New Roman" w:eastAsia="Times New Roman" w:hAnsi="Times New Roman"/>
          <w:sz w:val="24"/>
          <w:szCs w:val="24"/>
        </w:rPr>
        <w:t xml:space="preserve">: il sequestro e l'omicidio di Aldo Moro furono ideati, ordinati ed eseguiti dalle Brigate Rosse (Livello A, cinque processi). Ogni capitolo, anche quello che naviga il possibile, torna a questo scoglio.</w:t>
      </w:r>
    </w:p>
    <w:p>
      <w:pPr>
        <w:pStyle w:val="ListParagraph"/>
        <w:numPr>
          <w:ilvl w:val="0"/>
          <w:numId w:val="1"/>
        </w:numPr>
        <w:spacing w:after="40"/>
        <w:jc w:val="both"/>
      </w:pPr>
      <w:r>
        <w:rPr>
          <w:rFonts w:ascii="Times New Roman" w:cs="Times New Roman" w:eastAsia="Times New Roman" w:hAnsi="Times New Roman"/>
          <w:b/>
          <w:bCs/>
          <w:sz w:val="24"/>
          <w:szCs w:val="24"/>
        </w:rPr>
        <w:t xml:space="preserve">Le zone del dubbio e del possibile sono nominate, non nascoste</w:t>
      </w:r>
      <w:r>
        <w:rPr>
          <w:rFonts w:ascii="Times New Roman" w:cs="Times New Roman" w:eastAsia="Times New Roman" w:hAnsi="Times New Roman"/>
          <w:sz w:val="24"/>
          <w:szCs w:val="24"/>
        </w:rPr>
        <w:t xml:space="preserve"> (capp. 24, 28, 32, 33, 34): l'opera le grada, non le risolve per suggestione. È la disciplina delle assenze all'opera.</w:t>
      </w:r>
    </w:p>
    <w:p>
      <w:pPr>
        <w:pStyle w:val="ListParagraph"/>
        <w:numPr>
          <w:ilvl w:val="0"/>
          <w:numId w:val="1"/>
        </w:numPr>
        <w:spacing w:after="40"/>
        <w:jc w:val="both"/>
      </w:pPr>
      <w:r>
        <w:rPr>
          <w:rFonts w:ascii="Times New Roman" w:cs="Times New Roman" w:eastAsia="Times New Roman" w:hAnsi="Times New Roman"/>
          <w:b/>
          <w:bCs/>
          <w:sz w:val="24"/>
          <w:szCs w:val="24"/>
        </w:rPr>
        <w:t xml:space="preserve">Gli Stati Zero sono dichiarati con pari dignità</w:t>
      </w:r>
      <w:r>
        <w:rPr>
          <w:rFonts w:ascii="Times New Roman" w:cs="Times New Roman" w:eastAsia="Times New Roman" w:hAnsi="Times New Roman"/>
          <w:sz w:val="24"/>
          <w:szCs w:val="24"/>
        </w:rPr>
        <w:t xml:space="preserve"> (cap. 39): ciò che è stato cercato e non trovato — su tutto, l'eterodirezione del sequestro — è conoscenza, non silenzio.</w:t>
      </w:r>
    </w:p>
    <w:p>
      <w:pPr>
        <w:pStyle w:val="ListParagraph"/>
        <w:numPr>
          <w:ilvl w:val="0"/>
          <w:numId w:val="1"/>
        </w:numPr>
        <w:spacing w:after="40"/>
        <w:jc w:val="both"/>
      </w:pPr>
      <w:r>
        <w:rPr>
          <w:rFonts w:ascii="Times New Roman" w:cs="Times New Roman" w:eastAsia="Times New Roman" w:hAnsi="Times New Roman"/>
          <w:b/>
          <w:bCs/>
          <w:sz w:val="24"/>
          <w:szCs w:val="24"/>
        </w:rPr>
        <w:t xml:space="preserve">La Fase quinta sta interamente al Livello C</w:t>
      </w:r>
      <w:r>
        <w:rPr>
          <w:rFonts w:ascii="Times New Roman" w:cs="Times New Roman" w:eastAsia="Times New Roman" w:hAnsi="Times New Roman"/>
          <w:sz w:val="24"/>
          <w:szCs w:val="24"/>
        </w:rPr>
        <w:t xml:space="preserve">, salvo la sua base giudiziaria: è, per costruzione e per dichiarazione, congettura ordinata. L'apparato la tiene a quel livello e non promuove di un solo grado i nomi che essa ordina.</w:t>
      </w:r>
    </w:p>
    <w:p>
      <w:pPr>
        <w:spacing w:after="120" w:line="276"/>
        <w:jc w:val="both"/>
      </w:pPr>
      <w:r>
        <w:rPr>
          <w:rFonts w:ascii="Times New Roman" w:cs="Times New Roman" w:eastAsia="Times New Roman" w:hAnsi="Times New Roman"/>
          <w:sz w:val="24"/>
          <w:szCs w:val="24"/>
        </w:rPr>
        <w:t xml:space="preserve">Questa è la mappa che la quarta disciplina prometteva. Non chiude il caso: dice, in ogni suo punto, su che cosa il lettore poggia i piedi. E dice, con la forza di un dato, la cosa che l'intera opera — nella sua parte migliore — vuole dire: che ciò che è provato sul caso Moro è grave e basta a sé, e che ciò che non è provato va tenuto aperto, non chiuso con un nome.</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Apparato dei gradi dell'opera «Aldo Moro — Una guerra senza fine», edizione in cinquanta capitoli. Continuazione originale; non riproduce il testo dell'opera. Non nomina alcuna persona come responsabile di reato oltre il giudicato definitivo, e non riproduce la graduatoria della Fase quinta. I riscontri fattuali sono ancorati agli atti parlamentari, alle sentenze e alla documentazione pubblica. Per gli aspetti che toccano persone viventi vale la disciplina di riservatezza dell'apparato Italia Nera.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00"/>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80" w:before="160"/>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2026-08-24T19:17:22.101Z</dcterms:created>
  <dcterms:modified xsi:type="dcterms:W3CDTF">2026-08-24T19:17:22.101Z</dcterms:modified>
</cp:coreProperties>
</file>

<file path=docProps/custom.xml><?xml version="1.0" encoding="utf-8"?>
<Properties xmlns="http://schemas.openxmlformats.org/officeDocument/2006/custom-properties" xmlns:vt="http://schemas.openxmlformats.org/officeDocument/2006/docPropsVTypes"/>
</file>