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Barlow Semi Condensed" w:cs="Barlow Semi Condensed" w:eastAsia="Barlow Semi Condensed" w:hAnsi="Barlow Semi Condensed"/>
          <w:b/>
          <w:bCs/>
          <w:color w:val="1F3864"/>
          <w:sz w:val="32"/>
          <w:szCs w:val="32"/>
        </w:rPr>
        <w:t xml:space="preserve">Indice</w:t>
      </w:r>
    </w:p>
    <w:sdt>
      <w:sdtPr>
        <w:alias w:val="Sommario"/>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Barlow Semi Condensed" w:cs="Barlow Semi Condensed" w:eastAsia="Barlow Semi Condensed" w:hAnsi="Barlow Semi Condensed"/>
          <w:sz w:val="24"/>
          <w:szCs w:val="24"/>
        </w:rPr>
        <w:t xml:space="preserve">Aldo Moro alla Farnesina</w:t>
      </w:r>
    </w:p>
    <w:p>
      <w:pPr>
        <w:pStyle w:val="Heading2"/>
        <w:spacing w:after="100" w:before="200"/>
      </w:pPr>
      <w:r>
        <w:rPr>
          <w:rFonts w:ascii="Barlow Semi Condensed" w:cs="Barlow Semi Condensed" w:eastAsia="Barlow Semi Condensed" w:hAnsi="Barlow Semi Condensed"/>
          <w:sz w:val="24"/>
          <w:szCs w:val="24"/>
        </w:rPr>
        <w:t xml:space="preserve">La dimensione diplomatica dello statista (1969-1974)</w:t>
      </w:r>
    </w:p>
    <w:p>
      <w:pPr>
        <w:spacing w:after="120" w:line="276"/>
        <w:jc w:val="both"/>
      </w:pPr>
      <w:r>
        <w:rPr>
          <w:rFonts w:ascii="Barlow Semi Condensed" w:cs="Barlow Semi Condensed" w:eastAsia="Barlow Semi Condensed" w:hAnsi="Barlow Semi Condensed"/>
          <w:b/>
          <w:bCs/>
          <w:sz w:val="24"/>
          <w:szCs w:val="24"/>
        </w:rPr>
        <w:t xml:space="preserve">La strategia dell'attenzione fatta atto · i versanti mediterranei · le triangolazioni con la Santa Sede e con l'Opus Dei</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Volume rilegato della cartella «moro-ministro-esteri» — 25 agosto 2026 · Branch pubblico del corpus storico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Che cos'è questo volume.</w:t>
      </w:r>
      <w:r>
        <w:rPr>
          <w:rFonts w:ascii="Barlow Semi Condensed" w:cs="Barlow Semi Condensed" w:eastAsia="Barlow Semi Condensed" w:hAnsi="Barlow Semi Condensed"/>
          <w:i w:val="false"/>
          <w:iCs w:val="false"/>
          <w:sz w:val="24"/>
          <w:szCs w:val="24"/>
        </w:rPr>
        <w:t xml:space="preserve"> Raccoglie in un solo tomo le ricognizioni storiografiche e archivistiche su Aldo Moro ministro degli Affari Esteri nei due mandati fra il 5 agosto 1969 e il 23 novembre 1974. È il complemento documentale della «Fase ottava — Il ritratto»: là si racconta l'uomo e lo statista; qui si documenta che cosa quello statista fece come ministro degli Esteri.</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Ordine del volume.</w:t>
      </w:r>
      <w:r>
        <w:rPr>
          <w:rFonts w:ascii="Barlow Semi Condensed" w:cs="Barlow Semi Condensed" w:eastAsia="Barlow Semi Condensed" w:hAnsi="Barlow Semi Condensed"/>
          <w:i w:val="false"/>
          <w:iCs w:val="false"/>
          <w:sz w:val="24"/>
          <w:szCs w:val="24"/>
        </w:rPr>
        <w:t xml:space="preserve"> Apre la </w:t>
      </w:r>
      <w:r>
        <w:rPr>
          <w:rFonts w:ascii="Barlow Semi Condensed" w:cs="Barlow Semi Condensed" w:eastAsia="Barlow Semi Condensed" w:hAnsi="Barlow Semi Condensed"/>
          <w:b/>
          <w:bCs/>
          <w:i w:val="false"/>
          <w:iCs w:val="false"/>
          <w:sz w:val="24"/>
          <w:szCs w:val="24"/>
        </w:rPr>
        <w:t xml:space="preserve">collazione</w:t>
      </w:r>
      <w:r>
        <w:rPr>
          <w:rFonts w:ascii="Barlow Semi Condensed" w:cs="Barlow Semi Condensed" w:eastAsia="Barlow Semi Condensed" w:hAnsi="Barlow Semi Condensed"/>
          <w:i w:val="false"/>
          <w:iCs w:val="false"/>
          <w:sz w:val="24"/>
          <w:szCs w:val="24"/>
        </w:rPr>
        <w:t xml:space="preserve"> (il filo che tiene insieme la materia e le tre acquisizioni certe). Segue la </w:t>
      </w:r>
      <w:r>
        <w:rPr>
          <w:rFonts w:ascii="Barlow Semi Condensed" w:cs="Barlow Semi Condensed" w:eastAsia="Barlow Semi Condensed" w:hAnsi="Barlow Semi Condensed"/>
          <w:b/>
          <w:bCs/>
          <w:i w:val="false"/>
          <w:iCs w:val="false"/>
          <w:sz w:val="24"/>
          <w:szCs w:val="24"/>
        </w:rPr>
        <w:t xml:space="preserve">ricognizione-madre</w:t>
      </w:r>
      <w:r>
        <w:rPr>
          <w:rFonts w:ascii="Barlow Semi Condensed" w:cs="Barlow Semi Condensed" w:eastAsia="Barlow Semi Condensed" w:hAnsi="Barlow Semi Condensed"/>
          <w:i w:val="false"/>
          <w:iCs w:val="false"/>
          <w:sz w:val="24"/>
          <w:szCs w:val="24"/>
        </w:rPr>
        <w:t xml:space="preserve"> in dodici capitoli sui due mandati. Vengono poi i </w:t>
      </w:r>
      <w:r>
        <w:rPr>
          <w:rFonts w:ascii="Barlow Semi Condensed" w:cs="Barlow Semi Condensed" w:eastAsia="Barlow Semi Condensed" w:hAnsi="Barlow Semi Condensed"/>
          <w:b/>
          <w:bCs/>
          <w:i w:val="false"/>
          <w:iCs w:val="false"/>
          <w:sz w:val="24"/>
          <w:szCs w:val="24"/>
        </w:rPr>
        <w:t xml:space="preserve">quattro versanti nazionali</w:t>
      </w:r>
      <w:r>
        <w:rPr>
          <w:rFonts w:ascii="Barlow Semi Condensed" w:cs="Barlow Semi Condensed" w:eastAsia="Barlow Semi Condensed" w:hAnsi="Barlow Semi Condensed"/>
          <w:i w:val="false"/>
          <w:iCs w:val="false"/>
          <w:sz w:val="24"/>
          <w:szCs w:val="24"/>
        </w:rPr>
        <w:t xml:space="preserve"> che verificano una proposizione confutabile sull'insediamento dell'Opus Dei — Germania e Portogallo (presenza), Grecia e Turchia («Stato Zero») — ciascuno col proprio versante moroteo. Chiudono il dossier </w:t>
      </w:r>
      <w:r>
        <w:rPr>
          <w:rFonts w:ascii="Barlow Semi Condensed" w:cs="Barlow Semi Condensed" w:eastAsia="Barlow Semi Condensed" w:hAnsi="Barlow Semi Condensed"/>
          <w:b/>
          <w:bCs/>
          <w:i w:val="false"/>
          <w:iCs w:val="false"/>
          <w:sz w:val="24"/>
          <w:szCs w:val="24"/>
        </w:rPr>
        <w:t xml:space="preserve">Santa Sede-Turchia con l'attentato del 1981</w:t>
      </w:r>
      <w:r>
        <w:rPr>
          <w:rFonts w:ascii="Barlow Semi Condensed" w:cs="Barlow Semi Condensed" w:eastAsia="Barlow Semi Condensed" w:hAnsi="Barlow Semi Condensed"/>
          <w:i w:val="false"/>
          <w:iCs w:val="false"/>
          <w:sz w:val="24"/>
          <w:szCs w:val="24"/>
        </w:rPr>
        <w:t xml:space="preserve"> a Giovanni Paolo II e, in appendice, la nota sui </w:t>
      </w:r>
      <w:r>
        <w:rPr>
          <w:rFonts w:ascii="Barlow Semi Condensed" w:cs="Barlow Semi Condensed" w:eastAsia="Barlow Semi Condensed" w:hAnsi="Barlow Semi Condensed"/>
          <w:b/>
          <w:bCs/>
          <w:i w:val="false"/>
          <w:iCs w:val="false"/>
          <w:sz w:val="24"/>
          <w:szCs w:val="24"/>
        </w:rPr>
        <w:t xml:space="preserve">documenti del Dipartimento di Stato USA</w:t>
      </w:r>
      <w:r>
        <w:rPr>
          <w:rFonts w:ascii="Barlow Semi Condensed" w:cs="Barlow Semi Condensed" w:eastAsia="Barlow Semi Condensed" w:hAnsi="Barlow Semi Condensed"/>
          <w:i w:val="false"/>
          <w:iCs w:val="false"/>
          <w:sz w:val="24"/>
          <w:szCs w:val="24"/>
        </w:rPr>
        <w:t xml:space="preserve"> (1965 e 1978).</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Disciplina.</w:t>
      </w:r>
      <w:r>
        <w:rPr>
          <w:rFonts w:ascii="Barlow Semi Condensed" w:cs="Barlow Semi Condensed" w:eastAsia="Barlow Semi Condensed" w:hAnsi="Barlow Semi Condensed"/>
          <w:i w:val="false"/>
          <w:iCs w:val="false"/>
          <w:sz w:val="24"/>
          <w:szCs w:val="24"/>
        </w:rPr>
        <w:t xml:space="preserve"> Vale in ogni pagina la Regola di Ferro. Le firme comunitarie e l'Atto finale di Helsinki sono fatti pubblici documentati; gli esiti negativi di ricerca sono dichiarati come acquisizioni di pieno valore, con la sede d'archivio per chiuderli; la «pista bulgara» è qualificata come congettura giudizialmente non provata. Nessuna imputazione oltre il giudicato; l'appartenenza di una persona a un'organizzazione non è prova di una condotta dell'organizzazione; la contemporaneità non è prova di nesso. Per le persone viventi si riportano esclusivamente fatti pubblici documentati.</w:t>
      </w:r>
    </w:p>
    <w:p>
      <w:r>
        <w:br w:type="page"/>
      </w:r>
    </w:p>
    <w:p>
      <w:pPr>
        <w:pStyle w:val="Heading1"/>
        <w:spacing w:after="120" w:before="240"/>
      </w:pPr>
      <w:r>
        <w:rPr>
          <w:rFonts w:ascii="Barlow Semi Condensed" w:cs="Barlow Semi Condensed" w:eastAsia="Barlow Semi Condensed" w:hAnsi="Barlow Semi Condensed"/>
          <w:sz w:val="24"/>
          <w:szCs w:val="24"/>
        </w:rPr>
        <w:t xml:space="preserve">Aldo Moro alla Farnesina — La dimensione diplomatica dello statista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Che cos'è questa cartella.</w:t>
      </w:r>
      <w:r>
        <w:rPr>
          <w:rFonts w:ascii="Barlow Semi Condensed" w:cs="Barlow Semi Condensed" w:eastAsia="Barlow Semi Condensed" w:hAnsi="Barlow Semi Condensed"/>
          <w:i w:val="false"/>
          <w:iCs w:val="false"/>
          <w:sz w:val="24"/>
          <w:szCs w:val="24"/>
        </w:rPr>
        <w:t xml:space="preserve"> Una raccolta ordinata di ricognizioni storiografiche e archivistiche su </w:t>
      </w:r>
      <w:r>
        <w:rPr>
          <w:rFonts w:ascii="Barlow Semi Condensed" w:cs="Barlow Semi Condensed" w:eastAsia="Barlow Semi Condensed" w:hAnsi="Barlow Semi Condensed"/>
          <w:b/>
          <w:bCs/>
          <w:i w:val="false"/>
          <w:iCs w:val="false"/>
          <w:sz w:val="24"/>
          <w:szCs w:val="24"/>
        </w:rPr>
        <w:t xml:space="preserve">Aldo Moro ministro degli Affari Esteri</w:t>
      </w:r>
      <w:r>
        <w:rPr>
          <w:rFonts w:ascii="Barlow Semi Condensed" w:cs="Barlow Semi Condensed" w:eastAsia="Barlow Semi Condensed" w:hAnsi="Barlow Semi Condensed"/>
          <w:i w:val="false"/>
          <w:iCs w:val="false"/>
          <w:sz w:val="24"/>
          <w:szCs w:val="24"/>
        </w:rPr>
        <w:t xml:space="preserve"> nei due mandati fra il 5 agosto 1969 e il 23 novembre 1974, con i loro versanti mediterranei e le triangolazioni con la Santa Sede e con l'Opus Dei nei Paesi studiati. È la </w:t>
      </w:r>
      <w:r>
        <w:rPr>
          <w:rFonts w:ascii="Barlow Semi Condensed" w:cs="Barlow Semi Condensed" w:eastAsia="Barlow Semi Condensed" w:hAnsi="Barlow Semi Condensed"/>
          <w:b/>
          <w:bCs/>
          <w:i w:val="false"/>
          <w:iCs w:val="false"/>
          <w:sz w:val="24"/>
          <w:szCs w:val="24"/>
        </w:rPr>
        <w:t xml:space="preserve">dimensione diplomatica</w:t>
      </w:r>
      <w:r>
        <w:rPr>
          <w:rFonts w:ascii="Barlow Semi Condensed" w:cs="Barlow Semi Condensed" w:eastAsia="Barlow Semi Condensed" w:hAnsi="Barlow Semi Condensed"/>
          <w:i w:val="false"/>
          <w:iCs w:val="false"/>
          <w:sz w:val="24"/>
          <w:szCs w:val="24"/>
        </w:rPr>
        <w:t xml:space="preserve"> del ritratto tracciato nella `</w:t>
      </w:r>
      <w:r>
        <w:rPr>
          <w:rFonts w:ascii="Barlow Semi Condensed" w:cs="Barlow Semi Condensed" w:eastAsia="Barlow Semi Condensed" w:hAnsi="Barlow Semi Condensed"/>
          <w:i w:val="false"/>
          <w:iCs w:val="false"/>
          <w:sz w:val="24"/>
          <w:szCs w:val="24"/>
        </w:rPr>
        <w:t xml:space="preserve">Fase ottava — Il ritratto: l'uomo prima del caso</w:t>
      </w:r>
      <w:r>
        <w:rPr>
          <w:rFonts w:ascii="Barlow Semi Condensed" w:cs="Barlow Semi Condensed" w:eastAsia="Barlow Semi Condensed" w:hAnsi="Barlow Semi Condensed"/>
          <w:i w:val="false"/>
          <w:iCs w:val="false"/>
          <w:sz w:val="24"/>
          <w:szCs w:val="24"/>
        </w:rPr>
        <w:t xml:space="preserve">`: là si è raccontato l'uomo e lo statista — la formazione, il costituente, la </w:t>
      </w:r>
      <w:r>
        <w:rPr>
          <w:rFonts w:ascii="Barlow Semi Condensed" w:cs="Barlow Semi Condensed" w:eastAsia="Barlow Semi Condensed" w:hAnsi="Barlow Semi Condensed"/>
          <w:i w:val="false"/>
          <w:iCs w:val="false"/>
          <w:sz w:val="24"/>
          <w:szCs w:val="24"/>
        </w:rPr>
        <w:t xml:space="preserve">strategia dell'attenzione</w:t>
      </w:r>
      <w:r>
        <w:rPr>
          <w:rFonts w:ascii="Barlow Semi Condensed" w:cs="Barlow Semi Condensed" w:eastAsia="Barlow Semi Condensed" w:hAnsi="Barlow Semi Condensed"/>
          <w:i w:val="false"/>
          <w:iCs w:val="false"/>
          <w:sz w:val="24"/>
          <w:szCs w:val="24"/>
        </w:rPr>
        <w:t xml:space="preserve">, la solidarietà nazionale; qui si documenta che cosa quello statista </w:t>
      </w:r>
      <w:r>
        <w:rPr>
          <w:rFonts w:ascii="Barlow Semi Condensed" w:cs="Barlow Semi Condensed" w:eastAsia="Barlow Semi Condensed" w:hAnsi="Barlow Semi Condensed"/>
          <w:b/>
          <w:bCs/>
          <w:i w:val="false"/>
          <w:iCs w:val="false"/>
          <w:sz w:val="24"/>
          <w:szCs w:val="24"/>
        </w:rPr>
        <w:t xml:space="preserve">fece</w:t>
      </w:r>
      <w:r>
        <w:rPr>
          <w:rFonts w:ascii="Barlow Semi Condensed" w:cs="Barlow Semi Condensed" w:eastAsia="Barlow Semi Condensed" w:hAnsi="Barlow Semi Condensed"/>
          <w:i w:val="false"/>
          <w:iCs w:val="false"/>
          <w:sz w:val="24"/>
          <w:szCs w:val="24"/>
        </w:rPr>
        <w:t xml:space="preserve"> come ministro degli Esteri, con la stessa disciplina di prova adottata in tutto il corpus.  </w:t>
      </w:r>
      <w:r>
        <w:rPr>
          <w:rFonts w:ascii="Barlow Semi Condensed" w:cs="Barlow Semi Condensed" w:eastAsia="Barlow Semi Condensed" w:hAnsi="Barlow Semi Condensed"/>
          <w:b/>
          <w:bCs/>
          <w:i w:val="false"/>
          <w:iCs w:val="false"/>
          <w:sz w:val="24"/>
          <w:szCs w:val="24"/>
        </w:rPr>
        <w:t xml:space="preserve">Perché sul branch pubblico.</w:t>
      </w:r>
      <w:r>
        <w:rPr>
          <w:rFonts w:ascii="Barlow Semi Condensed" w:cs="Barlow Semi Condensed" w:eastAsia="Barlow Semi Condensed" w:hAnsi="Barlow Semi Condensed"/>
          <w:i w:val="false"/>
          <w:iCs w:val="false"/>
          <w:sz w:val="24"/>
          <w:szCs w:val="24"/>
        </w:rPr>
        <w:t xml:space="preserve"> Tutto il materiale è storiografico e disciplinato: fatti pubblici documentati, atti comunitari con riferimento alla Gazzetta ufficiale, documenti desecretati con protocollo, sentenze con data e autorità. Gli accertamenti sull'Opus Dei si risolvono, per i Paesi qui trattati, in </w:t>
      </w:r>
      <w:r>
        <w:rPr>
          <w:rFonts w:ascii="Barlow Semi Condensed" w:cs="Barlow Semi Condensed" w:eastAsia="Barlow Semi Condensed" w:hAnsi="Barlow Semi Condensed"/>
          <w:b/>
          <w:bCs/>
          <w:i w:val="false"/>
          <w:iCs w:val="false"/>
          <w:sz w:val="24"/>
          <w:szCs w:val="24"/>
        </w:rPr>
        <w:t xml:space="preserve">presenza documentata</w:t>
      </w:r>
      <w:r>
        <w:rPr>
          <w:rFonts w:ascii="Barlow Semi Condensed" w:cs="Barlow Semi Condensed" w:eastAsia="Barlow Semi Condensed" w:hAnsi="Barlow Semi Condensed"/>
          <w:i w:val="false"/>
          <w:iCs w:val="false"/>
          <w:sz w:val="24"/>
          <w:szCs w:val="24"/>
        </w:rPr>
        <w:t xml:space="preserve"> (Germania, Portogallo) o in </w:t>
      </w:r>
      <w:r>
        <w:rPr>
          <w:rFonts w:ascii="Barlow Semi Condensed" w:cs="Barlow Semi Condensed" w:eastAsia="Barlow Semi Condensed" w:hAnsi="Barlow Semi Condensed"/>
          <w:b/>
          <w:bCs/>
          <w:i w:val="false"/>
          <w:iCs w:val="false"/>
          <w:sz w:val="24"/>
          <w:szCs w:val="24"/>
        </w:rPr>
        <w:t xml:space="preserve">assenza dichiarata come «Stato Zero»</w:t>
      </w:r>
      <w:r>
        <w:rPr>
          <w:rFonts w:ascii="Barlow Semi Condensed" w:cs="Barlow Semi Condensed" w:eastAsia="Barlow Semi Condensed" w:hAnsi="Barlow Semi Condensed"/>
          <w:i w:val="false"/>
          <w:iCs w:val="false"/>
          <w:sz w:val="24"/>
          <w:szCs w:val="24"/>
        </w:rPr>
        <w:t xml:space="preserve"> (Grecia, Turchia), sempre con la regola di ferro secondo cui </w:t>
      </w:r>
      <w:r>
        <w:rPr>
          <w:rFonts w:ascii="Barlow Semi Condensed" w:cs="Barlow Semi Condensed" w:eastAsia="Barlow Semi Condensed" w:hAnsi="Barlow Semi Condensed"/>
          <w:i w:val="false"/>
          <w:iCs w:val="false"/>
          <w:sz w:val="24"/>
          <w:szCs w:val="24"/>
        </w:rPr>
        <w:t xml:space="preserve">l'appartenenza di una persona a un'organizzazione non è prova di una condotta dell'organizzazione</w:t>
      </w:r>
      <w:r>
        <w:rPr>
          <w:rFonts w:ascii="Barlow Semi Condensed" w:cs="Barlow Semi Condensed" w:eastAsia="Barlow Semi Condensed" w:hAnsi="Barlow Semi Condensed"/>
          <w:i w:val="false"/>
          <w:iCs w:val="false"/>
          <w:sz w:val="24"/>
          <w:szCs w:val="24"/>
        </w:rPr>
        <w:t xml:space="preserve">. Nessuna persona vivente è indicata come responsabile di alcunché; per le persone viventi si riportano esclusivamente fatti pubblici. Nulla qui appartiene alla categoria riservata del materiale privato del corpus.</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Il filo che tiene insieme la cartella</w:t>
      </w:r>
    </w:p>
    <w:p>
      <w:pPr>
        <w:spacing w:after="120" w:line="276"/>
        <w:jc w:val="both"/>
      </w:pPr>
      <w:r>
        <w:rPr>
          <w:rFonts w:ascii="Barlow Semi Condensed" w:cs="Barlow Semi Condensed" w:eastAsia="Barlow Semi Condensed" w:hAnsi="Barlow Semi Condensed"/>
          <w:sz w:val="24"/>
          <w:szCs w:val="24"/>
        </w:rPr>
        <w:t xml:space="preserve">Il ritratto della Fase ottava ha un centro: </w:t>
      </w:r>
      <w:r>
        <w:rPr>
          <w:rFonts w:ascii="Barlow Semi Condensed" w:cs="Barlow Semi Condensed" w:eastAsia="Barlow Semi Condensed" w:hAnsi="Barlow Semi Condensed"/>
          <w:b/>
          <w:bCs/>
          <w:sz w:val="24"/>
          <w:szCs w:val="24"/>
        </w:rPr>
        <w:t xml:space="preserve">la strategia dell'attenzione</w:t>
      </w:r>
      <w:r>
        <w:rPr>
          <w:rFonts w:ascii="Barlow Semi Condensed" w:cs="Barlow Semi Condensed" w:eastAsia="Barlow Semi Condensed" w:hAnsi="Barlow Semi Condensed"/>
          <w:sz w:val="24"/>
          <w:szCs w:val="24"/>
        </w:rPr>
        <w:t xml:space="preserve"> — l'idea moroteo che una democrazia matura amplia il proprio perimetro includendo per gradi ciò che prima ne era escluso, senza abdicare ai propri principi. La stessa idea, sul piano internazionale, ha un nome e una prassi: la </w:t>
      </w:r>
      <w:r>
        <w:rPr>
          <w:rFonts w:ascii="Barlow Semi Condensed" w:cs="Barlow Semi Condensed" w:eastAsia="Barlow Semi Condensed" w:hAnsi="Barlow Semi Condensed"/>
          <w:b/>
          <w:bCs/>
          <w:sz w:val="24"/>
          <w:szCs w:val="24"/>
        </w:rPr>
        <w:t xml:space="preserve">dottrina dell'equilibrio</w:t>
      </w:r>
      <w:r>
        <w:rPr>
          <w:rFonts w:ascii="Barlow Semi Condensed" w:cs="Barlow Semi Condensed" w:eastAsia="Barlow Semi Condensed" w:hAnsi="Barlow Semi Condensed"/>
          <w:sz w:val="24"/>
          <w:szCs w:val="24"/>
        </w:rPr>
        <w:t xml:space="preserve"> e della </w:t>
      </w:r>
      <w:r>
        <w:rPr>
          <w:rFonts w:ascii="Barlow Semi Condensed" w:cs="Barlow Semi Condensed" w:eastAsia="Barlow Semi Condensed" w:hAnsi="Barlow Semi Condensed"/>
          <w:b/>
          <w:bCs/>
          <w:sz w:val="24"/>
          <w:szCs w:val="24"/>
        </w:rPr>
        <w:t xml:space="preserve">proiezione mediterranea</w:t>
      </w:r>
      <w:r>
        <w:rPr>
          <w:rFonts w:ascii="Barlow Semi Condensed" w:cs="Barlow Semi Condensed" w:eastAsia="Barlow Semi Condensed" w:hAnsi="Barlow Semi Condensed"/>
          <w:sz w:val="24"/>
          <w:szCs w:val="24"/>
        </w:rPr>
        <w:t xml:space="preserve"> dell'Italia — l'equidistanza fra i blocchi, l'attenzione al mondo arabo e alla causa palestinese, la costruzione paziente di canali. Questi documenti mostrano l'uomo della «terza fase» all'opera nella cornice in cui quella cultura politica si faceva atto diplomatico.</w:t>
      </w:r>
    </w:p>
    <w:p>
      <w:pPr>
        <w:spacing w:after="120" w:line="276"/>
        <w:jc w:val="both"/>
      </w:pPr>
      <w:r>
        <w:rPr>
          <w:rFonts w:ascii="Barlow Semi Condensed" w:cs="Barlow Semi Condensed" w:eastAsia="Barlow Semi Condensed" w:hAnsi="Barlow Semi Condensed"/>
          <w:sz w:val="24"/>
          <w:szCs w:val="24"/>
        </w:rPr>
        <w:t xml:space="preserve">Tre acquisizioni </w:t>
      </w:r>
      <w:r>
        <w:rPr>
          <w:rFonts w:ascii="Barlow Semi Condensed" w:cs="Barlow Semi Condensed" w:eastAsia="Barlow Semi Condensed" w:hAnsi="Barlow Semi Condensed"/>
          <w:b/>
          <w:bCs/>
          <w:sz w:val="24"/>
          <w:szCs w:val="24"/>
        </w:rPr>
        <w:t xml:space="preserve">certe</w:t>
      </w:r>
      <w:r>
        <w:rPr>
          <w:rFonts w:ascii="Barlow Semi Condensed" w:cs="Barlow Semi Condensed" w:eastAsia="Barlow Semi Condensed" w:hAnsi="Barlow Semi Condensed"/>
          <w:sz w:val="24"/>
          <w:szCs w:val="24"/>
        </w:rPr>
        <w:t xml:space="preserve"> reggono la cartella, e vanno dette per prime perché sono il pavimento documentale su cui tutto il resto poggia:</w:t>
      </w:r>
    </w:p>
    <w:p>
      <w:pPr>
        <w:spacing w:after="40"/>
        <w:ind w:left="360"/>
        <w:jc w:val="both"/>
      </w:pPr>
      <w:r>
        <w:rPr>
          <w:rFonts w:ascii="Barlow Semi Condensed" w:cs="Barlow Semi Condensed" w:eastAsia="Barlow Semi Condensed" w:hAnsi="Barlow Semi Condensed"/>
          <w:sz w:val="24"/>
          <w:szCs w:val="24"/>
        </w:rPr>
        <w:t xml:space="preserve">1. </w:t>
      </w:r>
      <w:r>
        <w:rPr>
          <w:rFonts w:ascii="Barlow Semi Condensed" w:cs="Barlow Semi Condensed" w:eastAsia="Barlow Semi Condensed" w:hAnsi="Barlow Semi Condensed"/>
          <w:b/>
          <w:bCs/>
          <w:sz w:val="24"/>
          <w:szCs w:val="24"/>
        </w:rPr>
        <w:t xml:space="preserve">La firma dell'Accordo provvisorio CEE-Turchia</w:t>
      </w:r>
      <w:r>
        <w:rPr>
          <w:rFonts w:ascii="Barlow Semi Condensed" w:cs="Barlow Semi Condensed" w:eastAsia="Barlow Semi Condensed" w:hAnsi="Barlow Semi Condensed"/>
          <w:sz w:val="24"/>
          <w:szCs w:val="24"/>
        </w:rPr>
        <w:t xml:space="preserve"> (Bruxelles, 27 luglio 1971). Il preambolo del Regolamento (CEE) n. 1842/71 attesta che l'accordo fu firmato «a nome del Consiglio delle Comunità europee dal sig. Aldo Moro, Ministro degli affari esteri della Repubblica italiana e Presidente del Consiglio». Nel secondo semestre 1971 la presidenza di turno del Consiglio delle Comunità spettava all'Italia: Moro appose materialmente la firma a un atto dell'associazione CEE-Turchia. È il nesso Moro-Turchia meglio documentato dell'intera serie.</w:t>
      </w:r>
    </w:p>
    <w:p>
      <w:pPr>
        <w:spacing w:after="40"/>
        <w:ind w:left="360"/>
        <w:jc w:val="both"/>
      </w:pPr>
      <w:r>
        <w:rPr>
          <w:rFonts w:ascii="Barlow Semi Condensed" w:cs="Barlow Semi Condensed" w:eastAsia="Barlow Semi Condensed" w:hAnsi="Barlow Semi Condensed"/>
          <w:sz w:val="24"/>
          <w:szCs w:val="24"/>
        </w:rPr>
        <w:t xml:space="preserve">2. </w:t>
      </w:r>
      <w:r>
        <w:rPr>
          <w:rFonts w:ascii="Barlow Semi Condensed" w:cs="Barlow Semi Condensed" w:eastAsia="Barlow Semi Condensed" w:hAnsi="Barlow Semi Condensed"/>
          <w:b/>
          <w:bCs/>
          <w:sz w:val="24"/>
          <w:szCs w:val="24"/>
        </w:rPr>
        <w:t xml:space="preserve">La firma dell'Atto finale di Helsinki</w:t>
      </w:r>
      <w:r>
        <w:rPr>
          <w:rFonts w:ascii="Barlow Semi Condensed" w:cs="Barlow Semi Condensed" w:eastAsia="Barlow Semi Condensed" w:hAnsi="Barlow Semi Condensed"/>
          <w:sz w:val="24"/>
          <w:szCs w:val="24"/>
        </w:rPr>
        <w:t xml:space="preserve"> (1° agosto 1975). Moro lo sottoscrisse nella duplice qualità di Presidente del Consiglio e Presidente di turno della Comunità europea. Sullo stesso documento apposero la firma anche la </w:t>
      </w:r>
      <w:r>
        <w:rPr>
          <w:rFonts w:ascii="Barlow Semi Condensed" w:cs="Barlow Semi Condensed" w:eastAsia="Barlow Semi Condensed" w:hAnsi="Barlow Semi Condensed"/>
          <w:b/>
          <w:bCs/>
          <w:sz w:val="24"/>
          <w:szCs w:val="24"/>
        </w:rPr>
        <w:t xml:space="preserve">Santa Sede</w:t>
      </w:r>
      <w:r>
        <w:rPr>
          <w:rFonts w:ascii="Barlow Semi Condensed" w:cs="Barlow Semi Condensed" w:eastAsia="Barlow Semi Condensed" w:hAnsi="Barlow Semi Condensed"/>
          <w:sz w:val="24"/>
          <w:szCs w:val="24"/>
        </w:rPr>
        <w:t xml:space="preserve"> — primo congresso di Stati cui essa partecipava a pieno titolo dal Congresso di Vienna del 1815, con la delegazione Casaroli-Silvestrini e la proposta sulla libertà religiosa confluita nel settimo principio — e la </w:t>
      </w:r>
      <w:r>
        <w:rPr>
          <w:rFonts w:ascii="Barlow Semi Condensed" w:cs="Barlow Semi Condensed" w:eastAsia="Barlow Semi Condensed" w:hAnsi="Barlow Semi Condensed"/>
          <w:b/>
          <w:bCs/>
          <w:sz w:val="24"/>
          <w:szCs w:val="24"/>
        </w:rPr>
        <w:t xml:space="preserve">Turchia</w:t>
      </w:r>
      <w:r>
        <w:rPr>
          <w:rFonts w:ascii="Barlow Semi Condensed" w:cs="Barlow Semi Condensed" w:eastAsia="Barlow Semi Condensed" w:hAnsi="Barlow Semi Condensed"/>
          <w:sz w:val="24"/>
          <w:szCs w:val="24"/>
        </w:rPr>
        <w:t xml:space="preserve">. La convergenza delle tre firme è </w:t>
      </w:r>
      <w:r>
        <w:rPr>
          <w:rFonts w:ascii="Barlow Semi Condensed" w:cs="Barlow Semi Condensed" w:eastAsia="Barlow Semi Condensed" w:hAnsi="Barlow Semi Condensed"/>
          <w:b/>
          <w:bCs/>
          <w:sz w:val="24"/>
          <w:szCs w:val="24"/>
        </w:rPr>
        <w:t xml:space="preserve">la triangolazione certa</w:t>
      </w:r>
      <w:r>
        <w:rPr>
          <w:rFonts w:ascii="Barlow Semi Condensed" w:cs="Barlow Semi Condensed" w:eastAsia="Barlow Semi Condensed" w:hAnsi="Barlow Semi Condensed"/>
          <w:sz w:val="24"/>
          <w:szCs w:val="24"/>
        </w:rPr>
        <w:t xml:space="preserve"> fra i tre oggetti di questa cartella nel perimetro cronologico considerato.</w:t>
      </w:r>
    </w:p>
    <w:p>
      <w:pPr>
        <w:spacing w:after="40"/>
        <w:ind w:left="360"/>
        <w:jc w:val="both"/>
      </w:pPr>
      <w:r>
        <w:rPr>
          <w:rFonts w:ascii="Barlow Semi Condensed" w:cs="Barlow Semi Condensed" w:eastAsia="Barlow Semi Condensed" w:hAnsi="Barlow Semi Condensed"/>
          <w:sz w:val="24"/>
          <w:szCs w:val="24"/>
        </w:rPr>
        <w:t xml:space="preserve">3. </w:t>
      </w:r>
      <w:r>
        <w:rPr>
          <w:rFonts w:ascii="Barlow Semi Condensed" w:cs="Barlow Semi Condensed" w:eastAsia="Barlow Semi Condensed" w:hAnsi="Barlow Semi Condensed"/>
          <w:b/>
          <w:bCs/>
          <w:sz w:val="24"/>
          <w:szCs w:val="24"/>
        </w:rPr>
        <w:t xml:space="preserve">L'atto sulla Grecia dei colonnelli</w:t>
      </w:r>
      <w:r>
        <w:rPr>
          <w:rFonts w:ascii="Barlow Semi Condensed" w:cs="Barlow Semi Condensed" w:eastAsia="Barlow Semi Condensed" w:hAnsi="Barlow Semi Condensed"/>
          <w:sz w:val="24"/>
          <w:szCs w:val="24"/>
        </w:rPr>
        <w:t xml:space="preserve"> (1969). Il versante greco si apre con la posizione italiana nell'espulsione — di fatto anticipata dal ritiro volontario — della Grecia dei colonnelli dal Consiglio d'Europa nel 1969, primo anno del mandato di Moro: un banco di prova della strategia dell'attenzione applicata al trattamento di un regime autoritario alleato.</w:t>
      </w:r>
    </w:p>
    <w:p>
      <w:pPr>
        <w:spacing w:after="120" w:line="276"/>
        <w:jc w:val="both"/>
      </w:pPr>
      <w:r>
        <w:rPr>
          <w:rFonts w:ascii="Barlow Semi Condensed" w:cs="Barlow Semi Condensed" w:eastAsia="Barlow Semi Condensed" w:hAnsi="Barlow Semi Condensed"/>
          <w:sz w:val="24"/>
          <w:szCs w:val="24"/>
        </w:rPr>
        <w:t xml:space="preserve">Attorno a questi tre punti fermi si dispongono i versanti: il </w:t>
      </w:r>
      <w:r>
        <w:rPr>
          <w:rFonts w:ascii="Barlow Semi Condensed" w:cs="Barlow Semi Condensed" w:eastAsia="Barlow Semi Condensed" w:hAnsi="Barlow Semi Condensed"/>
          <w:b/>
          <w:bCs/>
          <w:sz w:val="24"/>
          <w:szCs w:val="24"/>
        </w:rPr>
        <w:t xml:space="preserve">lodo Moro</w:t>
      </w:r>
      <w:r>
        <w:rPr>
          <w:rFonts w:ascii="Barlow Semi Condensed" w:cs="Barlow Semi Condensed" w:eastAsia="Barlow Semi Condensed" w:hAnsi="Barlow Semi Condensed"/>
          <w:sz w:val="24"/>
          <w:szCs w:val="24"/>
        </w:rPr>
        <w:t xml:space="preserve"> e la politica filo-araba, la </w:t>
      </w:r>
      <w:r>
        <w:rPr>
          <w:rFonts w:ascii="Barlow Semi Condensed" w:cs="Barlow Semi Condensed" w:eastAsia="Barlow Semi Condensed" w:hAnsi="Barlow Semi Condensed"/>
          <w:b/>
          <w:bCs/>
          <w:sz w:val="24"/>
          <w:szCs w:val="24"/>
        </w:rPr>
        <w:t xml:space="preserve">Ostpolitik</w:t>
      </w:r>
      <w:r>
        <w:rPr>
          <w:rFonts w:ascii="Barlow Semi Condensed" w:cs="Barlow Semi Condensed" w:eastAsia="Barlow Semi Condensed" w:hAnsi="Barlow Semi Condensed"/>
          <w:sz w:val="24"/>
          <w:szCs w:val="24"/>
        </w:rPr>
        <w:t xml:space="preserve"> e gli incontri con Brandt e Scheel, il </w:t>
      </w:r>
      <w:r>
        <w:rPr>
          <w:rFonts w:ascii="Barlow Semi Condensed" w:cs="Barlow Semi Condensed" w:eastAsia="Barlow Semi Condensed" w:hAnsi="Barlow Semi Condensed"/>
          <w:b/>
          <w:bCs/>
          <w:sz w:val="24"/>
          <w:szCs w:val="24"/>
        </w:rPr>
        <w:t xml:space="preserve">versante libico e mediterraneo</w:t>
      </w:r>
      <w:r>
        <w:rPr>
          <w:rFonts w:ascii="Barlow Semi Condensed" w:cs="Barlow Semi Condensed" w:eastAsia="Barlow Semi Condensed" w:hAnsi="Barlow Semi Condensed"/>
          <w:sz w:val="24"/>
          <w:szCs w:val="24"/>
        </w:rPr>
        <w:t xml:space="preserve">, le </w:t>
      </w:r>
      <w:r>
        <w:rPr>
          <w:rFonts w:ascii="Barlow Semi Condensed" w:cs="Barlow Semi Condensed" w:eastAsia="Barlow Semi Condensed" w:hAnsi="Barlow Semi Condensed"/>
          <w:b/>
          <w:bCs/>
          <w:sz w:val="24"/>
          <w:szCs w:val="24"/>
        </w:rPr>
        <w:t xml:space="preserve">crisi cipriote del 1974</w:t>
      </w:r>
      <w:r>
        <w:rPr>
          <w:rFonts w:ascii="Barlow Semi Condensed" w:cs="Barlow Semi Condensed" w:eastAsia="Barlow Semi Condensed" w:hAnsi="Barlow Semi Condensed"/>
          <w:sz w:val="24"/>
          <w:szCs w:val="24"/>
        </w:rPr>
        <w:t xml:space="preserve"> viste da Atene e da Ankara, gli </w:t>
      </w:r>
      <w:r>
        <w:rPr>
          <w:rFonts w:ascii="Barlow Semi Condensed" w:cs="Barlow Semi Condensed" w:eastAsia="Barlow Semi Condensed" w:hAnsi="Barlow Semi Condensed"/>
          <w:b/>
          <w:bCs/>
          <w:sz w:val="24"/>
          <w:szCs w:val="24"/>
        </w:rPr>
        <w:t xml:space="preserve">oppiacei turchi</w:t>
      </w:r>
      <w:r>
        <w:rPr>
          <w:rFonts w:ascii="Barlow Semi Condensed" w:cs="Barlow Semi Condensed" w:eastAsia="Barlow Semi Condensed" w:hAnsi="Barlow Semi Condensed"/>
          <w:sz w:val="24"/>
          <w:szCs w:val="24"/>
        </w:rPr>
        <w:t xml:space="preserve"> e la French Connection, la </w:t>
      </w:r>
      <w:r>
        <w:rPr>
          <w:rFonts w:ascii="Barlow Semi Condensed" w:cs="Barlow Semi Condensed" w:eastAsia="Barlow Semi Condensed" w:hAnsi="Barlow Semi Condensed"/>
          <w:b/>
          <w:bCs/>
          <w:sz w:val="24"/>
          <w:szCs w:val="24"/>
        </w:rPr>
        <w:t xml:space="preserve">questione egea</w:t>
      </w:r>
      <w:r>
        <w:rPr>
          <w:rFonts w:ascii="Barlow Semi Condensed" w:cs="Barlow Semi Condensed" w:eastAsia="Barlow Semi Condensed" w:hAnsi="Barlow Semi Condensed"/>
          <w:sz w:val="24"/>
          <w:szCs w:val="24"/>
        </w:rPr>
        <w:t xml:space="preserve">. E accanto, la trama ecclesiale: il decennio turco di Roncalli, il dialogo cattolico-ortodosso, la chiusura del Seminario di Halki (1971), la condizione delle minoranze cristiane — con, su questo versante confessionale, un </w:t>
      </w:r>
      <w:r>
        <w:rPr>
          <w:rFonts w:ascii="Barlow Semi Condensed" w:cs="Barlow Semi Condensed" w:eastAsia="Barlow Semi Condensed" w:hAnsi="Barlow Semi Condensed"/>
          <w:b/>
          <w:bCs/>
          <w:sz w:val="24"/>
          <w:szCs w:val="24"/>
        </w:rPr>
        <w:t xml:space="preserve">esito prevalentemente negativo di ricerca</w:t>
      </w:r>
      <w:r>
        <w:rPr>
          <w:rFonts w:ascii="Barlow Semi Condensed" w:cs="Barlow Semi Condensed" w:eastAsia="Barlow Semi Condensed" w:hAnsi="Barlow Semi Condensed"/>
          <w:sz w:val="24"/>
          <w:szCs w:val="24"/>
        </w:rPr>
        <w:t xml:space="preserve">: nelle fonti edite non emerge una presa di posizione documentata della Farnesina di Moro sulle minoranze cristiane di Turchia o su Halki, e questo esito negativo è dichiarato come acquisizione di pieno valore, con l'indicazione della sede d'archivio dove chiuderlo.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 documenti</w:t>
      </w:r>
    </w:p>
    <w:p>
      <w:pPr>
        <w:pStyle w:val="Heading3"/>
        <w:spacing w:after="80" w:before="160"/>
      </w:pPr>
      <w:r>
        <w:rPr>
          <w:rFonts w:ascii="Barlow Semi Condensed" w:cs="Barlow Semi Condensed" w:eastAsia="Barlow Semi Condensed" w:hAnsi="Barlow Semi Condensed"/>
          <w:sz w:val="24"/>
          <w:szCs w:val="24"/>
        </w:rPr>
        <w:t xml:space="preserve">Ricognizione generale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File</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Contenuto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originali/ricognizione-ministro-esteri-1969-1974.md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La ricognizione-madre.</w:t>
            </w:r>
            <w:r>
              <w:rPr>
                <w:rFonts w:ascii="Barlow Semi Condensed" w:cs="Barlow Semi Condensed" w:eastAsia="Barlow Semi Condensed" w:hAnsi="Barlow Semi Condensed"/>
                <w:sz w:val="20"/>
                <w:szCs w:val="20"/>
              </w:rPr>
              <w:t xml:space="preserve"> Dodici capitoli: la cronologia esatta dei due mandati (con la controversia maggio/agosto 1969 dirimuta sul Portale storico della Camera al 5 agosto 1969), l'accessibilità dei fondi 1969-1974 dell'Archivio Storico Diplomatico, il versante Italia-Spagna, il versante statunitense (FRUS, Comitato dei 303), la documentazione parlamentare, la </w:t>
            </w:r>
            <w:r>
              <w:rPr>
                <w:rFonts w:ascii="Barlow Semi Condensed" w:cs="Barlow Semi Condensed" w:eastAsia="Barlow Semi Condensed" w:hAnsi="Barlow Semi Condensed"/>
                <w:b/>
                <w:bCs/>
                <w:sz w:val="20"/>
                <w:szCs w:val="20"/>
              </w:rPr>
              <w:t xml:space="preserve">dottrina dell'equilibrio</w:t>
            </w:r>
            <w:r>
              <w:rPr>
                <w:rFonts w:ascii="Barlow Semi Condensed" w:cs="Barlow Semi Condensed" w:eastAsia="Barlow Semi Condensed" w:hAnsi="Barlow Semi Condensed"/>
                <w:sz w:val="20"/>
                <w:szCs w:val="20"/>
              </w:rPr>
              <w:t xml:space="preserve"> con CSCE, Cina e CEE-Spagna, il </w:t>
            </w:r>
            <w:r>
              <w:rPr>
                <w:rFonts w:ascii="Barlow Semi Condensed" w:cs="Barlow Semi Condensed" w:eastAsia="Barlow Semi Condensed" w:hAnsi="Barlow Semi Condensed"/>
                <w:b/>
                <w:bCs/>
                <w:sz w:val="20"/>
                <w:szCs w:val="20"/>
              </w:rPr>
              <w:t xml:space="preserve">lodo Moro</w:t>
            </w:r>
            <w:r>
              <w:rPr>
                <w:rFonts w:ascii="Barlow Semi Condensed" w:cs="Barlow Semi Condensed" w:eastAsia="Barlow Semi Condensed" w:hAnsi="Barlow Semi Condensed"/>
                <w:sz w:val="20"/>
                <w:szCs w:val="20"/>
              </w:rPr>
              <w:t xml:space="preserve"> e la politica filo-araba, il versante </w:t>
            </w:r>
            <w:r>
              <w:rPr>
                <w:rFonts w:ascii="Barlow Semi Condensed" w:cs="Barlow Semi Condensed" w:eastAsia="Barlow Semi Condensed" w:hAnsi="Barlow Semi Condensed"/>
                <w:b/>
                <w:bCs/>
                <w:sz w:val="20"/>
                <w:szCs w:val="20"/>
              </w:rPr>
              <w:t xml:space="preserve">libico e mediterraneo</w:t>
            </w:r>
            <w:r>
              <w:rPr>
                <w:rFonts w:ascii="Barlow Semi Condensed" w:cs="Barlow Semi Condensed" w:eastAsia="Barlow Semi Condensed" w:hAnsi="Barlow Semi Condensed"/>
                <w:sz w:val="20"/>
                <w:szCs w:val="20"/>
              </w:rPr>
              <w:t xml:space="preserve">, le sedi multilaterali e la coincidenza con la delegazione vaticana, il canale Pignedoli, la tavola delle acquisizioni non conseguite</w:t>
            </w:r>
          </w:p>
        </w:tc>
      </w:tr>
    </w:tbl>
    <w:p>
      <w:pPr>
        <w:spacing w:after="80"/>
      </w:pPr>
    </w:p>
    <w:p>
      <w:pPr>
        <w:pStyle w:val="Heading3"/>
        <w:spacing w:after="80" w:before="160"/>
      </w:pPr>
      <w:r>
        <w:rPr>
          <w:rFonts w:ascii="Barlow Semi Condensed" w:cs="Barlow Semi Condensed" w:eastAsia="Barlow Semi Condensed" w:hAnsi="Barlow Semi Condensed"/>
          <w:sz w:val="24"/>
          <w:szCs w:val="24"/>
        </w:rPr>
        <w:t xml:space="preserve">I quattro versanti nazionali (Moro + Opus Dei + triangolazioni)</w:t>
      </w:r>
    </w:p>
    <w:p>
      <w:pPr>
        <w:spacing w:after="120" w:line="276"/>
        <w:jc w:val="both"/>
      </w:pPr>
      <w:r>
        <w:rPr>
          <w:rFonts w:ascii="Barlow Semi Condensed" w:cs="Barlow Semi Condensed" w:eastAsia="Barlow Semi Condensed" w:hAnsi="Barlow Semi Condensed"/>
          <w:sz w:val="24"/>
          <w:szCs w:val="24"/>
        </w:rPr>
        <w:t xml:space="preserve">Quattro ricognizioni parallele mettono alla prova una </w:t>
      </w:r>
      <w:r>
        <w:rPr>
          <w:rFonts w:ascii="Barlow Semi Condensed" w:cs="Barlow Semi Condensed" w:eastAsia="Barlow Semi Condensed" w:hAnsi="Barlow Semi Condensed"/>
          <w:b/>
          <w:bCs/>
          <w:sz w:val="24"/>
          <w:szCs w:val="24"/>
        </w:rPr>
        <w:t xml:space="preserve">proposizione confutabile</w:t>
      </w:r>
      <w:r>
        <w:rPr>
          <w:rFonts w:ascii="Barlow Semi Condensed" w:cs="Barlow Semi Condensed" w:eastAsia="Barlow Semi Condensed" w:hAnsi="Barlow Semi Condensed"/>
          <w:sz w:val="24"/>
          <w:szCs w:val="24"/>
        </w:rPr>
        <w:t xml:space="preserve">: che l'insediamento dell'Opus Dei in un Paese richieda la compresenza di una maggioranza cattolica e di un ceto universitario e professionale cattolico autoctono. I quattro casi la verificano per contrasto — due presenze, due assenze — e su ciascuno si innesta il versante diplomatico moroteo verso quel Paese.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File</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Esito Opus Dei</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Versante Moro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originali/germania-opus-dei-1952-1985.md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Presenza dal 1952</w:t>
            </w:r>
            <w:r>
              <w:rPr>
                <w:rFonts w:ascii="Barlow Semi Condensed" w:cs="Barlow Semi Condensed" w:eastAsia="Barlow Semi Condensed" w:hAnsi="Barlow Semi Condensed"/>
                <w:sz w:val="20"/>
                <w:szCs w:val="20"/>
              </w:rPr>
              <w:t xml:space="preserve"> (banco di prova: insediamento stabile pur senza maggioranza cattolica → cade la prima condizione, regge la seconda)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 </w:t>
            </w:r>
            <w:r>
              <w:rPr>
                <w:rFonts w:ascii="Barlow Semi Condensed" w:cs="Barlow Semi Condensed" w:eastAsia="Barlow Semi Condensed" w:hAnsi="Barlow Semi Condensed"/>
                <w:b/>
                <w:bCs/>
                <w:sz w:val="20"/>
                <w:szCs w:val="20"/>
              </w:rPr>
              <w:t xml:space="preserve">Ostpolitik</w:t>
            </w:r>
            <w:r>
              <w:rPr>
                <w:rFonts w:ascii="Barlow Semi Condensed" w:cs="Barlow Semi Condensed" w:eastAsia="Barlow Semi Condensed" w:hAnsi="Barlow Semi Condensed"/>
                <w:sz w:val="20"/>
                <w:szCs w:val="20"/>
              </w:rPr>
              <w:t xml:space="preserve">, gli incontri </w:t>
            </w:r>
            <w:r>
              <w:rPr>
                <w:rFonts w:ascii="Barlow Semi Condensed" w:cs="Barlow Semi Condensed" w:eastAsia="Barlow Semi Condensed" w:hAnsi="Barlow Semi Condensed"/>
                <w:b/>
                <w:bCs/>
                <w:sz w:val="20"/>
                <w:szCs w:val="20"/>
              </w:rPr>
              <w:t xml:space="preserve">Moro-Brandt</w:t>
            </w:r>
            <w:r>
              <w:rPr>
                <w:rFonts w:ascii="Barlow Semi Condensed" w:cs="Barlow Semi Condensed" w:eastAsia="Barlow Semi Condensed" w:hAnsi="Barlow Semi Condensed"/>
                <w:sz w:val="20"/>
                <w:szCs w:val="20"/>
              </w:rPr>
              <w:t xml:space="preserve"> e </w:t>
            </w:r>
            <w:r>
              <w:rPr>
                <w:rFonts w:ascii="Barlow Semi Condensed" w:cs="Barlow Semi Condensed" w:eastAsia="Barlow Semi Condensed" w:hAnsi="Barlow Semi Condensed"/>
                <w:b/>
                <w:bCs/>
                <w:sz w:val="20"/>
                <w:szCs w:val="20"/>
              </w:rPr>
              <w:t xml:space="preserve">Moro-Scheel</w:t>
            </w:r>
            <w:r>
              <w:rPr>
                <w:rFonts w:ascii="Barlow Semi Condensed" w:cs="Barlow Semi Condensed" w:eastAsia="Barlow Semi Condensed" w:hAnsi="Barlow Semi Condensed"/>
                <w:sz w:val="20"/>
                <w:szCs w:val="20"/>
              </w:rPr>
              <w:t xml:space="preserve">, il versante economico, comunitario e migratorio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originali/portogallo-opus-dei.md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Presenza dal 5 febbraio 1945</w:t>
            </w:r>
            <w:r>
              <w:rPr>
                <w:rFonts w:ascii="Barlow Semi Condensed" w:cs="Barlow Semi Condensed" w:eastAsia="Barlow Semi Condensed" w:hAnsi="Barlow Semi Condensed"/>
                <w:sz w:val="20"/>
                <w:szCs w:val="20"/>
              </w:rPr>
              <w:t xml:space="preserve"> (ma senza ruolo tecnocratico di governo, anzi sorvegliata dalla PIDE/DGS; </w:t>
            </w:r>
            <w:r>
              <w:rPr>
                <w:rFonts w:ascii="Barlow Semi Condensed" w:cs="Barlow Semi Condensed" w:eastAsia="Barlow Semi Condensed" w:hAnsi="Barlow Semi Condensed"/>
                <w:b/>
                <w:bCs/>
                <w:sz w:val="20"/>
                <w:szCs w:val="20"/>
              </w:rPr>
              <w:t xml:space="preserve">Stato Zero</w:t>
            </w:r>
            <w:r>
              <w:rPr>
                <w:rFonts w:ascii="Barlow Semi Condensed" w:cs="Barlow Semi Condensed" w:eastAsia="Barlow Semi Condensed" w:hAnsi="Barlow Semi Condensed"/>
                <w:sz w:val="20"/>
                <w:szCs w:val="20"/>
              </w:rPr>
              <w:t xml:space="preserve"> su Moro)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Triangolazione mediata dalla </w:t>
            </w:r>
            <w:r>
              <w:rPr>
                <w:rFonts w:ascii="Barlow Semi Condensed" w:cs="Barlow Semi Condensed" w:eastAsia="Barlow Semi Condensed" w:hAnsi="Barlow Semi Condensed"/>
                <w:b/>
                <w:bCs/>
                <w:sz w:val="20"/>
                <w:szCs w:val="20"/>
              </w:rPr>
              <w:t xml:space="preserve">Santa Sé</w:t>
            </w:r>
            <w:r>
              <w:rPr>
                <w:rFonts w:ascii="Barlow Semi Condensed" w:cs="Barlow Semi Condensed" w:eastAsia="Barlow Semi Condensed" w:hAnsi="Barlow Semi Condensed"/>
                <w:sz w:val="20"/>
                <w:szCs w:val="20"/>
              </w:rPr>
              <w:t xml:space="preserve">, interlocutrice comune; nessun documento lega Moro all'ente</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originali/grecia-opus-dei-1969-1985.md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Assenza — «Stato Zero»</w:t>
            </w:r>
            <w:r>
              <w:rPr>
                <w:rFonts w:ascii="Barlow Semi Condensed" w:cs="Barlow Semi Condensed" w:eastAsia="Barlow Semi Condensed" w:hAnsi="Barlow Semi Condensed"/>
                <w:sz w:val="20"/>
                <w:szCs w:val="20"/>
              </w:rPr>
              <w:t xml:space="preserve"> (previsione dichiarata e verificata: correla con la maggioranza cattolica, non col regime autoritario)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 </w:t>
            </w:r>
            <w:r>
              <w:rPr>
                <w:rFonts w:ascii="Barlow Semi Condensed" w:cs="Barlow Semi Condensed" w:eastAsia="Barlow Semi Condensed" w:hAnsi="Barlow Semi Condensed"/>
                <w:b/>
                <w:bCs/>
                <w:sz w:val="20"/>
                <w:szCs w:val="20"/>
              </w:rPr>
              <w:t xml:space="preserve">Grecia dei colonnelli</w:t>
            </w:r>
            <w:r>
              <w:rPr>
                <w:rFonts w:ascii="Barlow Semi Condensed" w:cs="Barlow Semi Condensed" w:eastAsia="Barlow Semi Condensed" w:hAnsi="Barlow Semi Condensed"/>
                <w:sz w:val="20"/>
                <w:szCs w:val="20"/>
              </w:rPr>
              <w:t xml:space="preserve"> e il Consiglio d'Europa (1969), la crisi di Cipro 1974, la NATO, la CSCE e l'Atto finale di Helsinki, il Patriarcato ecumenico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originali/turchia-opus-dei-1969-1975.md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Assenza — «Stato Zero»</w:t>
            </w:r>
            <w:r>
              <w:rPr>
                <w:rFonts w:ascii="Barlow Semi Condensed" w:cs="Barlow Semi Condensed" w:eastAsia="Barlow Semi Condensed" w:hAnsi="Barlow Semi Condensed"/>
                <w:sz w:val="20"/>
                <w:szCs w:val="20"/>
              </w:rPr>
              <w:t xml:space="preserve"> (il caso più probante: maggioranza musulmana, laicità con controllo statale dell'istruzione, minoranza cattolica minima)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 </w:t>
            </w:r>
            <w:r>
              <w:rPr>
                <w:rFonts w:ascii="Barlow Semi Condensed" w:cs="Barlow Semi Condensed" w:eastAsia="Barlow Semi Condensed" w:hAnsi="Barlow Semi Condensed"/>
                <w:b/>
                <w:bCs/>
                <w:sz w:val="20"/>
                <w:szCs w:val="20"/>
              </w:rPr>
              <w:t xml:space="preserve">firma dell'Accordo provvisorio CEE-Turchia</w:t>
            </w:r>
            <w:r>
              <w:rPr>
                <w:rFonts w:ascii="Barlow Semi Condensed" w:cs="Barlow Semi Condensed" w:eastAsia="Barlow Semi Condensed" w:hAnsi="Barlow Semi Condensed"/>
                <w:sz w:val="20"/>
                <w:szCs w:val="20"/>
              </w:rPr>
              <w:t xml:space="preserve"> (27/7/1971, certa), il Protocollo addizionale di Ankara del 1970, Cipro 1974 da Ankara, l'embargo USA, la questione egea, gli </w:t>
            </w:r>
            <w:r>
              <w:rPr>
                <w:rFonts w:ascii="Barlow Semi Condensed" w:cs="Barlow Semi Condensed" w:eastAsia="Barlow Semi Condensed" w:hAnsi="Barlow Semi Condensed"/>
                <w:b/>
                <w:bCs/>
                <w:sz w:val="20"/>
                <w:szCs w:val="20"/>
              </w:rPr>
              <w:t xml:space="preserve">oppiacei</w:t>
            </w:r>
            <w:r>
              <w:rPr>
                <w:rFonts w:ascii="Barlow Semi Condensed" w:cs="Barlow Semi Condensed" w:eastAsia="Barlow Semi Condensed" w:hAnsi="Barlow Semi Condensed"/>
                <w:sz w:val="20"/>
                <w:szCs w:val="20"/>
              </w:rPr>
              <w:t xml:space="preserve"> e la French Connection, la chiusura di </w:t>
            </w:r>
            <w:r>
              <w:rPr>
                <w:rFonts w:ascii="Barlow Semi Condensed" w:cs="Barlow Semi Condensed" w:eastAsia="Barlow Semi Condensed" w:hAnsi="Barlow Semi Condensed"/>
                <w:b/>
                <w:bCs/>
                <w:sz w:val="20"/>
                <w:szCs w:val="20"/>
              </w:rPr>
              <w:t xml:space="preserve">Halki</w:t>
            </w:r>
            <w:r>
              <w:rPr>
                <w:rFonts w:ascii="Barlow Semi Condensed" w:cs="Barlow Semi Condensed" w:eastAsia="Barlow Semi Condensed" w:hAnsi="Barlow Semi Condensed"/>
                <w:sz w:val="20"/>
                <w:szCs w:val="20"/>
              </w:rPr>
              <w:t xml:space="preserve"> (1971)</w:t>
            </w:r>
          </w:p>
        </w:tc>
      </w:tr>
    </w:tbl>
    <w:p>
      <w:pPr>
        <w:spacing w:after="80"/>
      </w:pPr>
    </w:p>
    <w:p>
      <w:pPr>
        <w:pStyle w:val="Heading3"/>
        <w:spacing w:after="80" w:before="160"/>
      </w:pPr>
      <w:r>
        <w:rPr>
          <w:rFonts w:ascii="Barlow Semi Condensed" w:cs="Barlow Semi Condensed" w:eastAsia="Barlow Semi Condensed" w:hAnsi="Barlow Semi Condensed"/>
          <w:sz w:val="24"/>
          <w:szCs w:val="24"/>
        </w:rPr>
        <w:t xml:space="preserve">Il versante ecclesiale e l'attentato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File</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Contenuto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originali/santa-sede-turchia-attentato-giovanni-paolo-ii.md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Santa Sede-Turchia 1935-1985</w:t>
            </w:r>
            <w:r>
              <w:rPr>
                <w:rFonts w:ascii="Barlow Semi Condensed" w:cs="Barlow Semi Condensed" w:eastAsia="Barlow Semi Condensed" w:hAnsi="Barlow Semi Condensed"/>
                <w:sz w:val="20"/>
                <w:szCs w:val="20"/>
              </w:rPr>
              <w:t xml:space="preserve">, con al centro l'</w:t>
            </w:r>
            <w:r>
              <w:rPr>
                <w:rFonts w:ascii="Barlow Semi Condensed" w:cs="Barlow Semi Condensed" w:eastAsia="Barlow Semi Condensed" w:hAnsi="Barlow Semi Condensed"/>
                <w:b/>
                <w:bCs/>
                <w:sz w:val="20"/>
                <w:szCs w:val="20"/>
              </w:rPr>
              <w:t xml:space="preserve">attentato del 13 maggio 1981</w:t>
            </w:r>
            <w:r>
              <w:rPr>
                <w:rFonts w:ascii="Barlow Semi Condensed" w:cs="Barlow Semi Condensed" w:eastAsia="Barlow Semi Condensed" w:hAnsi="Barlow Semi Condensed"/>
                <w:sz w:val="20"/>
                <w:szCs w:val="20"/>
              </w:rPr>
              <w:t xml:space="preserve"> a Giovanni Paolo II: la traiettoria turca di Ağca (omicidio İpekçi 1979, evasione, lettera minatoria del 27/11/1979), la </w:t>
            </w:r>
            <w:r>
              <w:rPr>
                <w:rFonts w:ascii="Barlow Semi Condensed" w:cs="Barlow Semi Condensed" w:eastAsia="Barlow Semi Condensed" w:hAnsi="Barlow Semi Condensed"/>
                <w:b/>
                <w:bCs/>
                <w:sz w:val="20"/>
                <w:szCs w:val="20"/>
              </w:rPr>
              <w:t xml:space="preserve">«pista bulgara» giudizialmente non provata</w:t>
            </w:r>
            <w:r>
              <w:rPr>
                <w:rFonts w:ascii="Barlow Semi Condensed" w:cs="Barlow Semi Condensed" w:eastAsia="Barlow Semi Condensed" w:hAnsi="Barlow Semi Condensed"/>
                <w:sz w:val="20"/>
                <w:szCs w:val="20"/>
              </w:rPr>
              <w:t xml:space="preserve"> (assoluzione per insufficienza di prove del 29/3/1986; le valutazioni CIA nei FRUS 1981-1988 vol. X che </w:t>
            </w:r>
            <w:r>
              <w:rPr>
                <w:rFonts w:ascii="Barlow Semi Condensed" w:cs="Barlow Semi Condensed" w:eastAsia="Barlow Semi Condensed" w:hAnsi="Barlow Semi Condensed"/>
                <w:i/>
                <w:iCs/>
                <w:sz w:val="20"/>
                <w:szCs w:val="20"/>
              </w:rPr>
              <w:t xml:space="preserve">non</w:t>
            </w:r>
            <w:r>
              <w:rPr>
                <w:rFonts w:ascii="Barlow Semi Condensed" w:cs="Barlow Semi Condensed" w:eastAsia="Barlow Semi Condensed" w:hAnsi="Barlow Semi Condensed"/>
                <w:sz w:val="20"/>
                <w:szCs w:val="20"/>
              </w:rPr>
              <w:t xml:space="preserve"> affermano come provata la responsabilità bulgaro-sovietica), i Lupi Grigi con la regola «appartenenza ≠ condotta dell'organizzazione», il decennio turco di Roncalli, il dialogo cattolico-ortodosso, la CSCE con le tre firme convergenti. Le dichiarazioni di Ağca — vivente — trattate come fatti pubblici, non come fonti di merito</w:t>
            </w:r>
          </w:p>
        </w:tc>
      </w:tr>
    </w:tbl>
    <w:p>
      <w:pPr>
        <w:spacing w:after="80"/>
      </w:pPr>
    </w:p>
    <w:p>
      <w:pPr>
        <w:pStyle w:val="Heading3"/>
        <w:spacing w:after="80" w:before="160"/>
      </w:pPr>
      <w:r>
        <w:rPr>
          <w:rFonts w:ascii="Barlow Semi Condensed" w:cs="Barlow Semi Condensed" w:eastAsia="Barlow Semi Condensed" w:hAnsi="Barlow Semi Condensed"/>
          <w:sz w:val="24"/>
          <w:szCs w:val="24"/>
        </w:rPr>
        <w:t xml:space="preserve">I documenti americani (nota estratta dall'OCR)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File</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Contenuto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documenti-state-dept-1965-1978.md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Trascrizione ordinata</w:t>
            </w:r>
            <w:r>
              <w:rPr>
                <w:rFonts w:ascii="Barlow Semi Condensed" w:cs="Barlow Semi Condensed" w:eastAsia="Barlow Semi Condensed" w:hAnsi="Barlow Semi Condensed"/>
                <w:sz w:val="20"/>
                <w:szCs w:val="20"/>
              </w:rPr>
              <w:t xml:space="preserve"> del lotto desecretato del Dipartimento di Stato USA, in due strati: la </w:t>
            </w:r>
            <w:r>
              <w:rPr>
                <w:rFonts w:ascii="Barlow Semi Condensed" w:cs="Barlow Semi Condensed" w:eastAsia="Barlow Semi Condensed" w:hAnsi="Barlow Semi Condensed"/>
                <w:b/>
                <w:bCs/>
                <w:sz w:val="20"/>
                <w:szCs w:val="20"/>
              </w:rPr>
              <w:t xml:space="preserve">visita ufficiale del 19-23 aprile 1965</w:t>
            </w:r>
            <w:r>
              <w:rPr>
                <w:rFonts w:ascii="Barlow Semi Condensed" w:cs="Barlow Semi Condensed" w:eastAsia="Barlow Semi Condensed" w:hAnsi="Barlow Semi Condensed"/>
                <w:sz w:val="20"/>
                <w:szCs w:val="20"/>
              </w:rPr>
              <w:t xml:space="preserve"> (Moro Presidente del Consiglio, con Fanfani agli Esteri — Casa Bianca/Johnson, Rusk, Arlington e la tomba di JFK, Mount Vernon, ONU/U Thant, cittadinanza onoraria di Philadelphia; il promemoria di sicurezza a J. Edgar Hoover) e i </w:t>
            </w:r>
            <w:r>
              <w:rPr>
                <w:rFonts w:ascii="Barlow Semi Condensed" w:cs="Barlow Semi Condensed" w:eastAsia="Barlow Semi Condensed" w:hAnsi="Barlow Semi Condensed"/>
                <w:b/>
                <w:bCs/>
                <w:sz w:val="20"/>
                <w:szCs w:val="20"/>
              </w:rPr>
              <w:t xml:space="preserve">cablogrammi dell'aprile-maggio 1978</w:t>
            </w:r>
            <w:r>
              <w:rPr>
                <w:rFonts w:ascii="Barlow Semi Condensed" w:cs="Barlow Semi Condensed" w:eastAsia="Barlow Semi Condensed" w:hAnsi="Barlow Semi Condensed"/>
                <w:sz w:val="20"/>
                <w:szCs w:val="20"/>
              </w:rPr>
              <w:t xml:space="preserve"> (Buenos Aires: i Montoneros smentiscono ogni legame col sequestro e con le BR; Trieste e Palermo: le reazioni regionali alla morte). Cornice, non accertamento istruttorio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originali/state-dept-djvu-ocr-grezzo.txt</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L'OCR grezzo di partenza, conservato per verifica e catena di custodia</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Come questa cartella si raccorda al corpus Moro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Con la `Fase ottava (il ritratto)`:</w:t>
      </w:r>
      <w:r>
        <w:rPr>
          <w:rFonts w:ascii="Barlow Semi Condensed" w:cs="Barlow Semi Condensed" w:eastAsia="Barlow Semi Condensed" w:hAnsi="Barlow Semi Condensed"/>
          <w:sz w:val="24"/>
          <w:szCs w:val="24"/>
        </w:rPr>
        <w:t xml:space="preserve"> ne è il completamento documentale. Dove la Fase ottava descrive </w:t>
      </w:r>
      <w:r>
        <w:rPr>
          <w:rFonts w:ascii="Barlow Semi Condensed" w:cs="Barlow Semi Condensed" w:eastAsia="Barlow Semi Condensed" w:hAnsi="Barlow Semi Condensed"/>
          <w:i/>
          <w:iCs/>
          <w:sz w:val="24"/>
          <w:szCs w:val="24"/>
        </w:rPr>
        <w:t xml:space="preserve">la strategia dell'attenzione</w:t>
      </w:r>
      <w:r>
        <w:rPr>
          <w:rFonts w:ascii="Barlow Semi Condensed" w:cs="Barlow Semi Condensed" w:eastAsia="Barlow Semi Condensed" w:hAnsi="Barlow Semi Condensed"/>
          <w:sz w:val="24"/>
          <w:szCs w:val="24"/>
        </w:rPr>
        <w:t xml:space="preserve"> come idea, questa cartella ne mostra l'omologo internazionale — la dottrina dell'equilibrio, la proiezione mediterranea — come </w:t>
      </w:r>
      <w:r>
        <w:rPr>
          <w:rFonts w:ascii="Barlow Semi Condensed" w:cs="Barlow Semi Condensed" w:eastAsia="Barlow Semi Condensed" w:hAnsi="Barlow Semi Condensed"/>
          <w:b/>
          <w:bCs/>
          <w:sz w:val="24"/>
          <w:szCs w:val="24"/>
        </w:rPr>
        <w:t xml:space="preserve">atti</w:t>
      </w:r>
      <w:r>
        <w:rPr>
          <w:rFonts w:ascii="Barlow Semi Condensed" w:cs="Barlow Semi Condensed" w:eastAsia="Barlow Semi Condensed" w:hAnsi="Barlow Semi Condensed"/>
          <w:sz w:val="24"/>
          <w:szCs w:val="24"/>
        </w:rPr>
        <w:t xml:space="preserve">: firme, accordi, canali, mediazioni.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Con la `Fase nona (il repertorio)`:</w:t>
      </w:r>
      <w:r>
        <w:rPr>
          <w:rFonts w:ascii="Barlow Semi Condensed" w:cs="Barlow Semi Condensed" w:eastAsia="Barlow Semi Condensed" w:hAnsi="Barlow Semi Condensed"/>
          <w:sz w:val="24"/>
          <w:szCs w:val="24"/>
        </w:rPr>
        <w:t xml:space="preserve"> i cablogrammi del 1978 e le reazioni alla morte appartengono al contesto documentato del caso, senza aggiungervi imputazioni; il repertorio ne è la sede di catalogazione gradata.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Con l'`apparato dei gradi`:</w:t>
      </w:r>
      <w:r>
        <w:rPr>
          <w:rFonts w:ascii="Barlow Semi Condensed" w:cs="Barlow Semi Condensed" w:eastAsia="Barlow Semi Condensed" w:hAnsi="Barlow Semi Condensed"/>
          <w:sz w:val="24"/>
          <w:szCs w:val="24"/>
        </w:rPr>
        <w:t xml:space="preserve"> vale la stessa scala. Le firme comunitarie e l'Atto finale di Helsinki sono </w:t>
      </w:r>
      <w:r>
        <w:rPr>
          <w:rFonts w:ascii="Barlow Semi Condensed" w:cs="Barlow Semi Condensed" w:eastAsia="Barlow Semi Condensed" w:hAnsi="Barlow Semi Condensed"/>
          <w:b/>
          <w:bCs/>
          <w:sz w:val="24"/>
          <w:szCs w:val="24"/>
        </w:rPr>
        <w:t xml:space="preserve">fatti pubblici documentati</w:t>
      </w:r>
      <w:r>
        <w:rPr>
          <w:rFonts w:ascii="Barlow Semi Condensed" w:cs="Barlow Semi Condensed" w:eastAsia="Barlow Semi Condensed" w:hAnsi="Barlow Semi Condensed"/>
          <w:sz w:val="24"/>
          <w:szCs w:val="24"/>
        </w:rPr>
        <w:t xml:space="preserve"> (F/A); gli esiti negativi di ricerca sul versante confessionale sono dichiarati come tali, con la sede d'archivio per chiuderli; la «pista bulgara» è </w:t>
      </w:r>
      <w:r>
        <w:rPr>
          <w:rFonts w:ascii="Barlow Semi Condensed" w:cs="Barlow Semi Condensed" w:eastAsia="Barlow Semi Condensed" w:hAnsi="Barlow Semi Condensed"/>
          <w:b/>
          <w:bCs/>
          <w:sz w:val="24"/>
          <w:szCs w:val="24"/>
        </w:rPr>
        <w:t xml:space="preserve">congettura giudizialmente non provata</w:t>
      </w:r>
      <w:r>
        <w:rPr>
          <w:rFonts w:ascii="Barlow Semi Condensed" w:cs="Barlow Semi Condensed" w:eastAsia="Barlow Semi Condensed" w:hAnsi="Barlow Semi Condensed"/>
          <w:sz w:val="24"/>
          <w:szCs w:val="24"/>
        </w:rPr>
        <w:t xml:space="preserve"> (C), e come tale va qualificata in ogni resa pubblica.</w:t>
      </w:r>
    </w:p>
    <w:p>
      <w:pPr>
        <w:spacing w:after="120" w:line="276"/>
        <w:jc w:val="both"/>
      </w:pPr>
      <w:r>
        <w:rPr>
          <w:rFonts w:ascii="Barlow Semi Condensed" w:cs="Barlow Semi Condensed" w:eastAsia="Barlow Semi Condensed" w:hAnsi="Barlow Semi Condensed"/>
          <w:sz w:val="24"/>
          <w:szCs w:val="24"/>
        </w:rPr>
        <w:t xml:space="preserve">Regola di ferro, ribadita: nessuna imputazione oltre il giudicato; nessuna graduatoria; l'appartenenza non è prova di condotta; la contemporaneità non è prova di nesso; gli esiti negativi sono acquisizioni di pieno valore.</w:t>
      </w:r>
    </w:p>
    <w:p>
      <w:r>
        <w:br w:type="page"/>
      </w:r>
    </w:p>
    <w:p>
      <w:pPr>
        <w:pStyle w:val="Heading1"/>
        <w:spacing w:after="120" w:before="240"/>
      </w:pPr>
      <w:r>
        <w:rPr>
          <w:rFonts w:ascii="Barlow Semi Condensed" w:cs="Barlow Semi Condensed" w:eastAsia="Barlow Semi Condensed" w:hAnsi="Barlow Semi Condensed"/>
          <w:sz w:val="24"/>
          <w:szCs w:val="24"/>
        </w:rPr>
        <w:t xml:space="preserve">Parte I — La ricognizione generale</w:t>
      </w:r>
    </w:p>
    <w:p>
      <w:pPr>
        <w:pStyle w:val="Heading1"/>
        <w:spacing w:after="120" w:before="240"/>
      </w:pPr>
      <w:r>
        <w:rPr>
          <w:rFonts w:ascii="Barlow Semi Condensed" w:cs="Barlow Semi Condensed" w:eastAsia="Barlow Semi Condensed" w:hAnsi="Barlow Semi Condensed"/>
          <w:sz w:val="24"/>
          <w:szCs w:val="24"/>
        </w:rPr>
        <w:t xml:space="preserve">Aldo Moro ministro degli Affari Esteri (agosto 1969 – novembre 1974): ricognizione storiografica e archivistica con tre versanti e triangolazioni</w:t>
      </w:r>
    </w:p>
    <w:p>
      <w:pPr>
        <w:pStyle w:val="Heading2"/>
        <w:spacing w:after="100" w:before="200"/>
      </w:pPr>
      <w:r>
        <w:rPr>
          <w:rFonts w:ascii="Barlow Semi Condensed" w:cs="Barlow Semi Condensed" w:eastAsia="Barlow Semi Condensed" w:hAnsi="Barlow Semi Condensed"/>
          <w:sz w:val="24"/>
          <w:szCs w:val="24"/>
        </w:rPr>
        <w:t xml:space="preserve">Capitolo I — Cronologia degli incarichi e la controversia sulle date</w:t>
      </w:r>
    </w:p>
    <w:p>
      <w:pPr>
        <w:spacing w:after="120" w:line="276"/>
        <w:jc w:val="both"/>
      </w:pPr>
      <w:r>
        <w:rPr>
          <w:rFonts w:ascii="Barlow Semi Condensed" w:cs="Barlow Semi Condensed" w:eastAsia="Barlow Semi Condensed" w:hAnsi="Barlow Semi Condensed"/>
          <w:sz w:val="24"/>
          <w:szCs w:val="24"/>
        </w:rPr>
        <w:t xml:space="preserve">La prima passata aveva registrato una discrepanza fra le fonti sulla data d'inizio del mandato (maggio o agosto 1969). La ricognizione consente ora di dirimerla. Il Portale storico della Camera dei deputati (fonte primaria istituzionale, scheda "Composizione dei governi") data il giuramento del II Governo Rumor al 5 agosto 1969: è questo il momento in cui Moro assume la Farnesina, mentre nel I Governo Rumor, in carica fino al 5 agosto 1969, il titolare degli Esteri era Pietro Nenni. La data "maggio 1969" che compare in Wikipedia in lingua inglese ("from May 1969") è dunque impropria e va corretta. La successione ministeriale documentata dal medesimo portale è la seguente: II Governo Rumor (5 agosto 1969 – 27 marzo 1970), Camera dei Deputati (https://storia.camera.it/governi/ii-governo-rumor) III Governo Rumor (27 marzo – 6 agosto 1970), Camera dei Deputati (https://storia.camera.it/governi/iii-governo-rumor/storia/dal:19700327,al:19700401) Governo Colombo (6 agosto 1970 – 17 febbraio 1972), I Governo Andreotti (17 febbraio – 26 giugno 1972); segue una interruzione, poiché nel II Governo Andreotti (giugno 1972 – luglio 1973) Moro non è ministro; infine IV e V Governo Rumor (7 luglio 1973 – 23 novembre 1974). La scheda ufficiale del Ministero degli Affari Esteri (esteri.it, "Ministri degli esteri – Aldo Moro") conferma la sequenza in forma sintetica: "Dal 1969 al 1974 è Ministro degli affari esteri nel II e III Governo Rumor, Colombo, I Andreotti, IV e V Rumor". Esteri (https://www.esteri.it/it/ministero/storia/ministri_esteri/aldo_moro/) La Treccani (Dizionario Biografico, voce di Massimo Mastrogregori) usa la formula "ininterrottamente ministro degli Esteri dall'agosto 1969 […] fino al novembre 1974 […] chiamandosi fuori solo dal secondo governo Andreotti": Treccani (https://www.treccani.it/enciclopedia/aldo-moro_(Dizionario-Biografico)/) va rilevato che l'aggettivo "ininterrottamente" è impreciso, poiché la stessa fonte riconosce l'esclusione dal biennio 1972-1973. Durante tale intervallo Moro presiedette la III Commissione Affari esteri della Camera: la scheda biografico-parlamentare ufficiale (storia.camera.it, "Componenti organi") attesta che ne fu membro dal 25 maggio 1972 al 4 luglio 1976 e presidente dall'11 luglio 1972 al 7 luglio 1973, Camera dei Deputati (https://storia.camera.it/deputato/aldo-moro-19160923/componentiorgani) incarico cessato per il rientro al governo. Il documento attesta le date; se ne inferisce, ma le fonti non lo affermano esplicitamente, che la presidenza fu una collocazione di attesa fra due mandati ministeriali. Va infine ricordato che già nel II Gabinetto Moro (1964-1966) egli aveva assunto per breve tempo l'interim degli Esteri dopo le dimissioni di Saragat (scheda esteri.it), dato che precede il periodo qui in esame ma ne illumina la continuità di competenza.</w:t>
      </w:r>
    </w:p>
    <w:p>
      <w:pPr>
        <w:pStyle w:val="Heading2"/>
        <w:spacing w:after="100" w:before="200"/>
      </w:pPr>
      <w:r>
        <w:rPr>
          <w:rFonts w:ascii="Barlow Semi Condensed" w:cs="Barlow Semi Condensed" w:eastAsia="Barlow Semi Condensed" w:hAnsi="Barlow Semi Condensed"/>
          <w:sz w:val="24"/>
          <w:szCs w:val="24"/>
        </w:rPr>
        <w:t xml:space="preserve">Capitolo II — L'Archivio Storico Diplomatico e l'accessibilità dei fondi 1969-1974</w:t>
      </w:r>
    </w:p>
    <w:p>
      <w:pPr>
        <w:spacing w:after="120" w:line="276"/>
        <w:jc w:val="both"/>
      </w:pPr>
      <w:r>
        <w:rPr>
          <w:rFonts w:ascii="Barlow Semi Condensed" w:cs="Barlow Semi Condensed" w:eastAsia="Barlow Semi Condensed" w:hAnsi="Barlow Semi Condensed"/>
          <w:sz w:val="24"/>
          <w:szCs w:val="24"/>
        </w:rPr>
        <w:t xml:space="preserve">Guido Levi, in "Spagna contemporanea" n. 49/2016 (studio scientifico peer-reviewed), dichiarava non consultabili, per gli anni presi in esame, i fondi conservati presso il Ministero degli Affari Esteri, ripiegando perciò sugli Archivi storici dell'Unione Europea di Firenze e sull'Archivio dell'Istituto Sturzo (fondi Martino, Natali, Spinelli, Andreotti). La ricognizione attuale sul sito dell'Archivio Storico Diplomatico (fonte istituzionale) accerta che l'accessibilità è regolata dal criterio dei cinquant'anni: sono consultabili, dietro autorizzazione del capo dell'Unità, i documenti che risalgono a oltre cinquant'anni, con facoltà eccezionale del Ministro di ridurre il termine a trent'anni; le situazioni private attendono settant'anni. Ne discende, per inferenza dalla norma e non da dichiarazione esplicita dell'Archivio, che al 2026 la barriera dei cinquant'anni copre ormai l'intero arco 1969-1974, teoricamente reso consultabile. Persiste tuttavia una condizione operativa: per la documentazione dal 1949 in poi l'utente deve preventivamente contattare l'Archivio per verificare la disponibilità dei faldoni, segno che l'ordinamento e l'inventariazione non sono conclusi per tutte le serie. Il sito segnala il completamento dell'inventariazione di alcuni fondi (Archivio Scuole e altri) senza menzionare specificamente le serie di maggiore interesse per questa ricerca — "Ambasciata d'Italia a Madrid", "Direzione Generale Affari Politici", carteggi del gabinetto del ministro. Esito negativo da registrare: non è stato reperito online un inventario analitico e nominativo che attesti l'apertura effettiva del carteggio di gabinetto di Moro ministro né della serie dell'ambasciata di Madrid per il 1969-1974. La sede presso cui la verifica va condotta è la Sala Studio dell'Archivio Storico Diplomatico alla Farnesina, previa registrazione al portale asd.esteri.it e contatto con archiviostorico@esteri.it; responsabile indicata è la dott.ssa Paola Busonero. Esteri (https://www.esteri.it/it/temi/uap/archivio-storico-e-biblioteca/archivio-storico-diplomatico/servizi-allutenza/) Si segnala inoltre che l'Archivio pubblica la raccolta ufficiale dei Documenti Diplomatici Italiani (DDI): esito negativo, non è stato possibile in questa ricognizione stabilire se le annate 1969-1974 siano già uscite nella serie a stampa, dato da verificare presso l'Archivio e presso i cataloghi dell'Istituto Poligrafico. La natura del rilievo è duplice: la fonte normativa attesta la consultabilità di principio; la fonte procedurale attesta l'incertezza di fatto.</w:t>
      </w:r>
    </w:p>
    <w:p>
      <w:pPr>
        <w:pStyle w:val="Heading2"/>
        <w:spacing w:after="100" w:before="200"/>
      </w:pPr>
      <w:r>
        <w:rPr>
          <w:rFonts w:ascii="Barlow Semi Condensed" w:cs="Barlow Semi Condensed" w:eastAsia="Barlow Semi Condensed" w:hAnsi="Barlow Semi Condensed"/>
          <w:sz w:val="24"/>
          <w:szCs w:val="24"/>
        </w:rPr>
        <w:t xml:space="preserve">Capitolo III — Gli archivi spagnoli e il versante Italia-Spagna</w:t>
      </w:r>
    </w:p>
    <w:p>
      <w:pPr>
        <w:spacing w:after="120" w:line="276"/>
        <w:jc w:val="both"/>
      </w:pPr>
      <w:r>
        <w:rPr>
          <w:rFonts w:ascii="Barlow Semi Condensed" w:cs="Barlow Semi Condensed" w:eastAsia="Barlow Semi Condensed" w:hAnsi="Barlow Semi Condensed"/>
          <w:sz w:val="24"/>
          <w:szCs w:val="24"/>
        </w:rPr>
        <w:t xml:space="preserve">Per il secondo versante la ricognizione ha interrogato l'assetto degli archivi statali spagnoli. L'Archivo General de la Administración (AGA) di Alcalá de Henares, creato con Decreto 914/1969 e operativo dal 1972 Ministerio de Cultura (https://www.cultura.gob.es/cultura/areas/archivos/mc/archivos/aga/fondos-documentales/introduccion.html) (fonte istituzionale, Ministerio de Cultura), è l'archivio intermedio che raccoglie la documentazione dell'amministrazione centrale, compresa quella del Ministerio de Asuntos Exteriores e delle rappresentanze all'estero. Ministerio de Cultura (https://www.cultura.gob.es/cultura/areas/archivos/mc/archivos/aga/fondos-documentales/introduccion.html) Il portale PARES (Portal de Archivos Españoles) e il Censo-Guía attestano che l'Archivo General del Ministerio de Asuntos Exteriores trasferisce annualmente all'AGA le frazioni di serie con più di quindici anni di anzianità, in forza del Decreto 8 maggio 1969; PARES (https://pares.mcu.es/ParesBusquedas20/catalogo/description/167744) la documentazione del Ministero fino al 1985, "a grosso modo", risulta già trasferita all'AGA. MPR (https://www.mpr.gob.es/memoriademocratica/archivos-estatales/Paginas/Guias/Gu%C3%ADa%20de%20fuentes%20documentales/Ministerios/Asuntos%20Exteriores/archivo-general-del-ministerio-de-asuntos-exterior.aspx) Ne discende, per inferenza dalla norma di trasferimento e non da un inventario nominativo consultato, che la corrispondenza fra il Ministerio de Asuntos Exteriores e l'Embajada de España en Roma per il 1969-1975 dovrebbe trovarsi materialmente all'AGA, nel fondo del Servizio Esterno. Le condizioni di accesso indicate da PARES rinviano genericamente alla "normativa che regola l'accesso ai fondi pubblici di titolarità statale". Cultura (https://censoarchivos.cultura.gob.es/CensoGuia/fondoDetail.htm?id=1096317) Esiti negativi da registrare con pieno valore: non è stato reperito online un inventario analitico che isoli il carteggio dell'ambasciata spagnola a Roma per gli anni in questione; non è stata reperita documentazione già edita su incontri o corrispondenza diretta fra Gregorio López Bravo, Laureano López Rodó, Pedro Cortina Mauri e Aldo Moro; non è stata reperita documentazione spagnola edita sulla posizione di Madrid riguardo alla politica italiana né sulla reazione spagnola al sequestro Moro del 1978. La sede presso cui condurre la ricerca è duplice: l'AGA di Alcalá de Henares per il fondo del Ministero e delle rappresentanze (segnatamente Embajada en Roma) e, per la documentazione posteriore al 1985 o non ancora trasferita, l'Archivo General del Ministerio de Asuntos Exteriores, Unión Europea y Cooperación a Madrid. Ministerio de Asuntos Exteriores de España (https://www.exteriores.gob.es/es/ServiciosAlCiudadano/Paginas/Archivo-General-y-Biblioteca-Central.aspx) Un dato accertato è che Cortina Mauri, ministro degli Esteri spagnolo, fu protagonista, nel febbraio-marzo 1974, del caso Añoveros con il nunzio Dadaglio, Wikipedia (https://es.wikipedia.org/wiki/Caso_A%C3%B1overos) elemento che colloca l'interlocutore spagnolo di Moro anche sul versante ecclesiastico (v. Capitolo X). Si segnala infine, quale reperto collaterale, che una fonte peer-reviewed (Redalyc/Amelica, "Il caso Moro e il Cile dei militari") documenta l'attenzione internazionale del 1978 alle misure antiterrorismo, ma non tratta la reazione spagnola in senso proprio.</w:t>
      </w:r>
    </w:p>
    <w:p>
      <w:pPr>
        <w:pStyle w:val="Heading2"/>
        <w:spacing w:after="100" w:before="200"/>
      </w:pPr>
      <w:r>
        <w:rPr>
          <w:rFonts w:ascii="Barlow Semi Condensed" w:cs="Barlow Semi Condensed" w:eastAsia="Barlow Semi Condensed" w:hAnsi="Barlow Semi Condensed"/>
          <w:sz w:val="24"/>
          <w:szCs w:val="24"/>
        </w:rPr>
        <w:t xml:space="preserve">Capitolo IV — Il versante statunitense: FRUS, National Archives, Comitato dei 303</w:t>
      </w:r>
    </w:p>
    <w:p>
      <w:pPr>
        <w:spacing w:after="120" w:line="276"/>
        <w:jc w:val="both"/>
      </w:pPr>
      <w:r>
        <w:rPr>
          <w:rFonts w:ascii="Barlow Semi Condensed" w:cs="Barlow Semi Condensed" w:eastAsia="Barlow Semi Condensed" w:hAnsi="Barlow Semi Condensed"/>
          <w:sz w:val="24"/>
          <w:szCs w:val="24"/>
        </w:rPr>
        <w:t xml:space="preserve">Il terzo versante è quello meglio servito da fonti primarie edite. La serie Foreign Relations of the United States (FRUS) e i National Archives statunitensi conservano verbali dei colloqui italo-americani con Moro ministro. È accertato e integralmente disponibile il memorandum of conversation del 25 settembre 1974 nell'Oval Office fra il presidente Giovanni Leone, il ministro Aldo Moro, il presidente Gerald Ford e il segretario di Stato Henry Kissinger, con Brent Scowcroft (fonte primaria: Gerald R. Ford Presidential Library, National Security Adviser's Memoranda of Conversation, doc. 1552802; Internet Archive (https://archive.org/stream/KissingerAldoMoro1552802/Kissinger%20Aldo%20Moro%201552802_djvu.txt) edito anche in FRUS 1969-1976, vol. E-15, part 2, doc. 350). Il verbale del successivo incontro del 26 settembre 1974 è parimenti disponibile (Ford Library, doc. 1552806). Rilievo di merito, attestato dal documento: alla vigilia, il 25 settembre, Kissinger disse a Ford che gli italiani dovevano sentirsi dire "tough" che qualunque presenza comunista al governo avrebbe mutato le relazioni, aggiungendo una valutazione sul rischio di contagio in Francia, Germania e Grecia. U.S. Department of State (https://history.state.gov/historicaldocuments/frus1969-76ve15p2Ed2/d350) Il documento attesta la posizione di Kissinger sul PCI; non attesta una posizione di Moro sul medesimo punto in quella sede, che non va inferita. Sul Comitato dei 303 e sull'azione coperta in Italia, il volume XLI (Western Europe; NATO, 1969-1972) reca al documento 180 il verbale della riunione dell'11 marzo 1969 presieduta da Kissinger, con Johnson, Packard e Helms presenti: Karamessines vi illustrò origini e livelli del programma di sostegno coperto ai partiti italiani 1948-1968, e i presenti convennero all'unanimità che non vi fosse "real justification for resumption of covert funding". state (https://history.state.gov/historicaldocuments/frus1969-76v41/d180) La riunione è dunque del marzo 1969, quando Moro non era ancora ministro degli Esteri (lo divenne il 5 agosto 1969): la contemporaneità è solo apparente e non va trattata come nesso. Documenti coevi (FRUS vol. XLI, doc. 188) registrano l'istruzione di Nixon del dicembre 1969 di avviare uno "study on Italy". U.S. Department of State (https://history.state.gov/historicaldocuments/frus1969-76v41/d188) Un saggio peer-reviewed (Diplomacy &amp; Statecraft, 2024) segnala che il programma di azione coperta in Italia riemerse nel novembre 1975 e nel luglio 1976, Taylor &amp; Francis Online (https://www.tandfonline.com/doi/full/10.1080/09592296.2024.2303859) quando Moro era però presidente del Consiglio. Esiti negativi da registrare: in questa ricognizione non sono stati reperiti verbali editi di colloqui diretti Moro-Nixon o Moro-Rogers negli anni 1969-1972 comparabili per completezza a quello del 1974; la sede presso cui cercarli è la serie FRUS 1969-1976 (volumi sull'Europa occidentale e sul Mediterraneo) e i Nixon Presidential Materials, NSC Files, Country Files: Italy, presso i National Archives di College Park.</w:t>
      </w:r>
    </w:p>
    <w:p>
      <w:pPr>
        <w:pStyle w:val="Heading2"/>
        <w:spacing w:after="100" w:before="200"/>
      </w:pPr>
      <w:r>
        <w:rPr>
          <w:rFonts w:ascii="Barlow Semi Condensed" w:cs="Barlow Semi Condensed" w:eastAsia="Barlow Semi Condensed" w:hAnsi="Barlow Semi Condensed"/>
          <w:sz w:val="24"/>
          <w:szCs w:val="24"/>
        </w:rPr>
        <w:t xml:space="preserve">Capitolo V — La documentazione parlamentare italiana</w:t>
      </w:r>
    </w:p>
    <w:p>
      <w:pPr>
        <w:spacing w:after="120" w:line="276"/>
        <w:jc w:val="both"/>
      </w:pPr>
      <w:r>
        <w:rPr>
          <w:rFonts w:ascii="Barlow Semi Condensed" w:cs="Barlow Semi Condensed" w:eastAsia="Barlow Semi Condensed" w:hAnsi="Barlow Semi Condensed"/>
          <w:sz w:val="24"/>
          <w:szCs w:val="24"/>
        </w:rPr>
        <w:t xml:space="preserve">Il settimo obiettivo riguarda gli atti parlamentari. La ricognizione, condotta sui portali storici di Camera e Senato (fonti primarie istituzionali), conferma anzitutto la cornice biografico-parlamentare: Moro fu eletto alla Camera nella circoscrizione di Bari e presiedette la III Commissione Affari esteri della Camera dall'11 luglio 1972 al 7 luglio 1973 (storia.camera.it, scheda "Componenti organi", v. Capitolo I). Quanto ai discorsi e alle repliche sui bilanci annuali del Ministero degli Affari Esteri per gli esercizi 1970, 1971, 1972 e 1974, l'esito è parziale e va dichiarato come tale. È accertata l'esistenza documentaria degli esami degli stati di previsione: il Senato conserva, nella lista dei resoconti stenografici delle Commissioni della V legislatura, l'esame in sede consultiva dello stato di previsione della spesa per gli esercizi 1971 e 1972 (senato.it, resoconti stenografici di Commissione). È accertata altresì l'esistenza, nel Fondo Aldo Moro conservato dall'Archivio storico del Senato (patrimonio.archivio.senato.it, con documentazione proveniente dall'Archivio Centrale dello Stato), delle stesure dei suoi discorsi: fra le unità archivistiche figurano un "Intervento alla Commissione affari esteri del Senato sulla situazione in Libia" Senato della Repubblica (https://patrimonio.archivio.senato.it/inventario/scheda/aldo-moro/IT-AFS-048-000517/intervento-alla-commissione-affari-esteri-del-senato-sulla-situazione-libia) e un "Intervento alla Commissione esteri della Camera dei deputati" (quest'ultimo in tre stesure, di cui una manoscritta, con materiale preparatorio). Senato della Repubblica (https://patrimonio.archivio.senato.it/inventario/scheda/aldo-moro/IT-AFS-048-000644/intervento-alla-commissione-%20esteri-della-camera-deputati) Il documento attesta l'esistenza dei testi; le schede non recano però l'anno di esercizio del bilancio, sicché l'aggancio puntuale seduta-data resta da compiere. Esito negativo esplicito: non è stato possibile isolare, con numero di seduta e data, le repliche di Moro nelle discussioni dei bilanci Esteri 1970-1974, per limiti di accesso (robots.txt) alle schede "dibattiti" dei portali. La sede presso cui completare l'accertamento è triplice: la banca dati "dibattiti" della scheda deputato Moro su storia.camera.it per le legislature V e VI; la banca dati dei resoconti stenografici d'Assemblea del Senato per le medesime legislature; e soprattutto la raccolta ufficiale Aldo Moro, Discorsi parlamentari (Camera dei deputati, Roma 1996, 2 voll.), che indicizza le repliche con la data. Come nota di metodo va rilevato che nel periodo gli stati di previsione erano spesso esaminati in sede di Commissione, mentre la discussione generale di politica estera si teneva in Assemblea: ciò spiega la dispersione documentaria e raccomanda di distinguere gli interventi d'Aula da quelli di Commissione. Il rendimento atteso di questa acquisizione è alto, poiché i discorsi di bilancio contengono l'autorappresentazione dottrinale della politica estera moroana.</w:t>
      </w:r>
    </w:p>
    <w:p>
      <w:pPr>
        <w:pStyle w:val="Heading2"/>
        <w:spacing w:after="100" w:before="200"/>
      </w:pPr>
      <w:r>
        <w:rPr>
          <w:rFonts w:ascii="Barlow Semi Condensed" w:cs="Barlow Semi Condensed" w:eastAsia="Barlow Semi Condensed" w:hAnsi="Barlow Semi Condensed"/>
          <w:sz w:val="24"/>
          <w:szCs w:val="24"/>
        </w:rPr>
        <w:t xml:space="preserve">Capitolo VI — La dottrina dell'equilibrio, la CSCE, la Cina e la CEE-Spagna</w:t>
      </w:r>
    </w:p>
    <w:p>
      <w:pPr>
        <w:spacing w:after="120" w:line="276"/>
        <w:jc w:val="both"/>
      </w:pPr>
      <w:r>
        <w:rPr>
          <w:rFonts w:ascii="Barlow Semi Condensed" w:cs="Barlow Semi Condensed" w:eastAsia="Barlow Semi Condensed" w:hAnsi="Barlow Semi Condensed"/>
          <w:sz w:val="24"/>
          <w:szCs w:val="24"/>
        </w:rPr>
        <w:t xml:space="preserve">Sul piano dottrinale la prima passata aveva colto la "dottrina dell'equilibrio" e la formula dei "germi di cambiamento" riferita alla CSCE. Le fonti divulgative e le raccolte disponibili confermano il lessico: in un intervento del 1971 alla Camera Moro sostenne che l'interesse del popolo italiano fosse "che la pace prevalga nel mondo, e particolarmente nel continente europeo e nel Mediterraneo", senza per questo rinunciare "alla difesa intelligente ed equilibrata dei nostri interessi" Progetto Radici (https://www.progetto-radici.it/2022/05/09/aldo-moro-il-dominus-della-politica-estera-italiana/) (citazione riportata da una fonte divulgativa, Progetto Radici, da verificare sull'originale parlamentare). Sul riconoscimento della Repubblica popolare cinese occorre una correzione rispetto a una lettura che lo attribuisca a Moro: la proposta fu di Pietro Nenni nel gennaio 1969, e la normalizzazione si perfezionò il 6 novembre 1970, quando Moro era ministro Wikipedia (https://it.wikipedia.org/wiki/Relazioni_bilaterali_tra_Italia_e_Repubblica_Popolare_Cinese) (fonte: Wikipedia in italiano e L'Antidiplomatico, quest'ultima riporta il testo del telegramma del Ministero del 28 novembre 1970). Il documento attesta che il riconoscimento maturò sotto la titolarità di Moro; non attesta una paternità morotea dell'iniziativa, che risale a Nenni. La prima passata aveva citato il telegramma 5472/0 del 29 dicembre 1972 sulla "Visita On. Ministro in Cina": esito negativo, in questa ricognizione non è stato possibile reperirne il testo o una scheda archivistica; la sede è l'Archivio Storico Diplomatico. Sull'accordo preferenziale CEE-Spagna, lo studio peer-reviewed di Levi e il DIZionario dell'Integrazione Europea confermano che l'intesa fu siglata a Lussemburgo il 29 giugno 1970 dal ministro spagnolo López Bravo, dal presidente del Consiglio CEE Pierre Harmel e dal presidente della Commissione Jean Rey, entrando in vigore il 1° ottobre 1970; Dizie (https://www.dizie.eu/dizionario/spagna/) il testo è confermato da EUR-Lex (CELEX 21970A0629(01)): "Accordo tra la Comunità economica europea e la Spagna, Gazzetta ufficiale n. L 182 del 16/08/1970 pag. 0002 […] Fatto a Lussemburgo, il ventinove giugno millenovecentosettanta", con validità cessata il 31 dicembre 1985. La constatazione della prima passata circa il silenzio della stampa italiana non è stata né confermata né smentita da questa ricognizione e resta da verificare su emeroteca. Quanto al settembre 1975, quando il governo — presieduto ormai da Moro — richiamò l'ambasciatore da Madrid dopo le fucilazioni di due militanti ETA e tre del FRAP del 27 settembre 1975, va corretto un dato della prima passata: le vittime furono cinque, di cui tre del FRAP (José Humberto Baena, José Luis Sánchez Bravo, Ramón García Sanz) e due dell'ETA (Juan Paredes Manot "Txiki" e Ángel Otaegui).</w:t>
      </w:r>
    </w:p>
    <w:p>
      <w:pPr>
        <w:pStyle w:val="Heading2"/>
        <w:spacing w:after="100" w:before="200"/>
      </w:pPr>
      <w:r>
        <w:rPr>
          <w:rFonts w:ascii="Barlow Semi Condensed" w:cs="Barlow Semi Condensed" w:eastAsia="Barlow Semi Condensed" w:hAnsi="Barlow Semi Condensed"/>
          <w:sz w:val="24"/>
          <w:szCs w:val="24"/>
        </w:rPr>
        <w:t xml:space="preserve">Capitolo VII — Il lodo Moro e la politica filo-araba</w:t>
      </w:r>
    </w:p>
    <w:p>
      <w:pPr>
        <w:spacing w:after="120" w:line="276"/>
        <w:jc w:val="both"/>
      </w:pPr>
      <w:r>
        <w:rPr>
          <w:rFonts w:ascii="Barlow Semi Condensed" w:cs="Barlow Semi Condensed" w:eastAsia="Barlow Semi Condensed" w:hAnsi="Barlow Semi Condensed"/>
          <w:sz w:val="24"/>
          <w:szCs w:val="24"/>
        </w:rPr>
        <w:t xml:space="preserve">Il caso più documentato del versante mediterraneo è il cosiddetto "lodo Moro". La cronologia della prima passata trova ampio riscontro nelle fonti, in prevalenza divulgative e giornalistiche, che rinviano però a documentazione desecretata (Direttiva Renzi 2014) e a due studi di riferimento: Giacomo Pacini, Il lodo Moro. Terrorismo e ragion di Stato 1969-1986, e i lavori richiamati da Valentine Lomellini. Secondo Pacini, il primo documento che certifichi un dialogo clandestino fra governo italiano e formazioni riconducibili all'OLP risale al 17 dicembre 1972 L'Incontro (https://www.lincontro.news/il-lodo-moro-non-era-una-fake-news-laccordo-fra-lo-stato-italiano-e-le-organizzazioni-palestinesi-ci-fu-e-produsse-degli-effetti/) e reca la firma del capo del SID collegato all'area libanese (il Giornale, L'Incontro). Il 14 gennaio 1973 (secondo altre ricostruzioni il 5 settembre 1973 per l'arresto dei cinque, con discrepanza fra le fonti sulla data e sul numero) si colloca l'episodio dei lanciamissili Strela destinati all'aereo di Golda Meir. L'Incontro (https://www.lincontro.news/il-lodo-moro-non-era-una-fake-news-laccordo-fra-lo-stato-italiano-e-le-organizzazioni-palestinesi-ci-fu-e-produsse-degli-effetti/) L'accordo sarebbe stato sottoscritto il 19 ottobre 1973; L'Incontro (https://www.lincontro.news/il-lodo-moro-non-era-una-fake-news-laccordo-fra-lo-stato-italiano-e-le-organizzazioni-palestinesi-ci-fu-e-produsse-degli-effetti/) un documento del 23 ottobre 1973 documenta la trattativa (il Giornale). Il 17 dicembre 1973 la strage di Fiumicino provocò, secondo la scheda ufficiale del Ministero della Cultura (memoria.cultura.gov.it), 32 vittime di cui 6 italiane e 15 feriti: "Attentato terroristico compiuto da un commando palestinese che ha provocato 32 vittime […] Il bilancio complessivo dell'azione è di 32 vittime, di cui 6 italiane"; l'aereo colpito era un Boeing 707 della Pan Am diretto a Teheran via Beirut con 56 passeggeri, 29 dei quali morti a bordo. Il documento attesta l'esistenza di contatti e di intese operative; non attesta univocamente né la paternità esclusiva di Moro né la natura giuridica di un vero e proprio "accordo": lo stesso studioso citato osserva che i documenti indicano non un "lodo Moro" in senso stretto ma il risultato di un lavoro diplomatico condotto da più persone e riconducibile a una politica di Stato. Il Giornale (https://www.ilgiornale.it/news/cultura/lodo-moro-leggenda-e-verit-storica-nel-libro-valentine-2003644.html) Va perciò distinto ciò che i documenti Giovannone attestano (contatti, colloqui in carcere, ruolo del colonnello Stefano Giovannone come capocentro del SID a Beirut) Wikipedia (https://it.wikipedia.org/wiki/Lodo_Moro) da ciò che se ne inferisce circa la volontà politica di Moro, che le fonti collegano a lui ma senza atto scritto di sua mano finora reso pubblico. Le date della prima passata relative al 7 novembre 1979 (Ortona, sequestro di lanciamissili) e al 16 febbraio 1978 (cablogramma Giovannone su Habbash) esulano dal mandato ministeriale ma ne segnano la coda: al novembre 1979 Moro era già morto, e il febbraio 1978 cade durante il suo sequestro. Esito negativo: non è stato reperito in questa ricognizione il testo integrale del cablogramma del 16 febbraio 1978 né dell'accordo del 19 ottobre 1973; la sede presso cui cercarli è l'archivio della Commissione parlamentare d'inchiesta Moro-2 e gli atti desecretati depositati presso l'Archivio Centrale dello Stato.</w:t>
      </w:r>
    </w:p>
    <w:p>
      <w:pPr>
        <w:pStyle w:val="Heading2"/>
        <w:spacing w:after="100" w:before="200"/>
      </w:pPr>
      <w:r>
        <w:rPr>
          <w:rFonts w:ascii="Barlow Semi Condensed" w:cs="Barlow Semi Condensed" w:eastAsia="Barlow Semi Condensed" w:hAnsi="Barlow Semi Condensed"/>
          <w:sz w:val="24"/>
          <w:szCs w:val="24"/>
        </w:rPr>
        <w:t xml:space="preserve">Capitolo VIII — Il versante libico e mediterraneo</w:t>
      </w:r>
    </w:p>
    <w:p>
      <w:pPr>
        <w:spacing w:after="120" w:line="276"/>
        <w:jc w:val="both"/>
      </w:pPr>
      <w:r>
        <w:rPr>
          <w:rFonts w:ascii="Barlow Semi Condensed" w:cs="Barlow Semi Condensed" w:eastAsia="Barlow Semi Condensed" w:hAnsi="Barlow Semi Condensed"/>
          <w:sz w:val="24"/>
          <w:szCs w:val="24"/>
        </w:rPr>
        <w:t xml:space="preserve">Il colpo di Stato di Gheddafi del 1° settembre 1969 aprì il dossier più drammatico del mandato. Ilmemoriale (https://www.ilmemoriale.it/politica/2017/09/04/espulsione-degli-italiani-da-tripoli.html) Il decreto di confisca dei beni degli italiani, promulgato dal Consiglio del Comando della Rivoluzione in tre leggi, è del 21 luglio 1970; gli italiani, circa ventimila, con beni confiscati quantificati in circa 400 miliardi di lire (valore 1970), dovettero lasciare la Libia: Lo Spiegone precisa che "le operazioni di traghettamento di più di 17.000 italiani finirono il 15 ottobre 1970, otto giorni dopo l'ultimatum inviato da Gheddafi il 7 ottobre", data poi celebrata dal regime libico come "Giornata della vendetta". Sul piano interpretativo, lo storico Massimo Mastrogregori (in Storia mondiale dell'Italia, Laterza 2017, studio scientifico) scrive che ai tempi delle crisi libica e petrolifera Moro "strinse contatti col mondo arabo, certo impopolari, utili per il futuro", entro i quali rientravano anche "caute mosse di avvicinamento alla galassia dei gruppi della resistenza palestinese". Ponza Racconta (https://www.ponzaracconta.it/2021/03/30/aldo-moro-gheddafi-e-arafat/) Una fonte memorialistica di parte (l'ex parlamentare che riferisce i racconti del generale Vito Miceli, su lavalledeitempli.net) attribuisce a Moro la scelta di "salvare Gheddafi" per tutelare gli interessi italiani, e collega a Moro il soccorso dato nel 1971 per far fallire un tentativo di rovesciamento ("operazione Hilton"): Lavalledeitempli (http://lavalledeitempli.net/2019/04/23/aldo-moro-vero-artefice-della-cooperazione-la-libia-gheddafi/) trattandosi di memoria di protagonista riferita indirettamente, il dato va accolto con cautela e non equiparato a fonte d'archivio. Il documento memorialistico attesta un'opinione; non attesta la decisione documentale di Moro, che andrebbe cercata nei carteggi di gabinetto. Una fonte cita un telegramma del 6 settembre 1970 da Tunisi ai vertici dello Stato con cui Moro avrebbe "sdrammatizzato" politicamente l'espulsione: Lavalledeitempli (http://lavalledeitempli.net/2019/04/23/aldo-moro-vero-artefice-della-cooperazione-la-libia-gheddafi/) esito da verificare all'Archivio Storico Diplomatico. Sugli altri fronti mediterranei — Malta, la Grecia dei colonnelli, il Portogallo di Caetano e poi la Rivoluzione dei garofani dell'aprile 1974, la caduta dei colonnelli greci nel luglio 1974 — la ricognizione non ha prodotto documentazione specifica sull'azione di Moro; l'esito negativo va registrato con la sede di ricerca (Archivio Storico Diplomatico, serie Affari Politici, e FRUS per il quadro NATO). Il terzo e quarto conflitto arabo-israeliano fanno da sfondo alla politica filo-araba: la guerra del Kippur dell'ottobre 1973, documentata ampiamente in FRUS (vol. XXV), è il contesto entro cui matura la strage di Fiumicino e la crisi petrolifera 1973-1974. Il documento FRUS attesta lo sforzo americano di guadagnare il sostegno degli alleati europei, "largely unsuccessful": CIE (https://israeled.org/wp-content/uploads/2012/05/FRUS-1969-1976-1973-war.pdf) ne discende, per inferenza corroborata ma non per affermazione esplicita, che la linea mediterranea italiana divergeva da quella statunitense.</w:t>
      </w:r>
    </w:p>
    <w:p>
      <w:pPr>
        <w:pStyle w:val="Heading2"/>
        <w:spacing w:after="100" w:before="200"/>
      </w:pPr>
      <w:r>
        <w:rPr>
          <w:rFonts w:ascii="Barlow Semi Condensed" w:cs="Barlow Semi Condensed" w:eastAsia="Barlow Semi Condensed" w:hAnsi="Barlow Semi Condensed"/>
          <w:sz w:val="24"/>
          <w:szCs w:val="24"/>
        </w:rPr>
        <w:t xml:space="preserve">Capitolo IX — Le sedi multilaterali e la coincidenza con la delegazione vaticana</w:t>
      </w:r>
    </w:p>
    <w:p>
      <w:pPr>
        <w:spacing w:after="120" w:line="276"/>
        <w:jc w:val="both"/>
      </w:pPr>
      <w:r>
        <w:rPr>
          <w:rFonts w:ascii="Barlow Semi Condensed" w:cs="Barlow Semi Condensed" w:eastAsia="Barlow Semi Condensed" w:hAnsi="Barlow Semi Condensed"/>
          <w:sz w:val="24"/>
          <w:szCs w:val="24"/>
        </w:rPr>
        <w:t xml:space="preserve">Il sesto obiettivo chiedeva di verificare la coincidenza fra le sedi in cui l'Italia della Farnesina di Moro era rappresentata e quelle in cui la Santa Sede era guidata da Silvestrini. L'Italia firmò il Trattato di non proliferazione nucleare il 28 gennaio 1969 Treccani (https://www.treccani.it/enciclopedia/non-proliferazione-atomica_(Enciclopedia-Italiana)/) (dato anteriore all'insediamento di Moro) e lo ratificò con legge 24 aprile 1975 n. 131; secondo la scheda del Centro di Ateneo per i Diritti Umani dell'Università di Padova, la "Data della ratifica: 02 maggio 1975 (Washington, Londra), 04 maggio 1975 (Mosca) (Gazzetta Ufficiale n. 201 del 30 luglio 1975)", mentre la legge 131 fu pubblicata in G.U. n. 113 del 30 aprile 1975. Lo studio peer-reviewed di Leopoldo Nuti (L'Italia come stato soglia?) documenta che fra la firma e la ratifica il governo italiano cercò di dilazionare la ratifica e di potenziare lo status italiano nell'arricchimento dell'uranio e nella propulsione navale, cedendo infine alle pressioni degli alleati nel maggio 1975. Unica (https://convegni.unica.it/sisi19/i-panel-dellottavo-convegno-sisi-cagliari-2019/panel-3/) Il dato è rilevante perché la ratifica cade quando Moro è presidente del Consiglio, non più ministro degli Esteri: la coincidenza cronologica con il suo mandato ministeriale è dunque solo parziale e va precisata. Sul versante vaticano, le fonti (Treccani, voce Casaroli; L'Osservatore Romano; SettimanaNews) attestano che Achille Silvestrini fu capo-delegazione della Santa Sede alla Conferenza ONU sull'uso dell'energia atomica del 1971 e alla Conferenza sul TNP del 1975, oltre che protagonista della CSCE. SettimanaNews (https://www.settimananews.it/chiesa/silvestrini-ostpolitik/) La proposta vaticana sulla libertà religiosa fu presentata il 7 marzo 1973 e recepita nel settimo principio dell'Atto finale di Helsinki del 1° agosto 1975; la Santa Sede aderì anche al TNP, "sollecitata dall'URSS" Vatican News (https://www.vaticannews.va/it/mondo/news/2022-04/conferenza-helsinki-1975-europa-guerra-fredda-eredita-pace.html) (Vatican News). Qui si colloca la triangolazione più delicata: la coincidenza fra le sedi multilaterali (energia atomica 1971, TNP, CSCE) in cui erano presenti sia la Farnesina di Moro sia la delegazione di Silvestrini è una comunanza di ambiente accertata dalle fonti. Ciò che essa NON stabilisce è un coordinamento o una concertazione fra Roma e la Santa Sede in quelle sedi: nessuna delle fonti reperite documenta contatti operativi Moro-Silvestrini o istruzioni concordate. La contemporaneità di presenza non va trattata come prova di un nesso: va classificata come comunanza di ambiente, non come convergenza di obiettivo documentata. La sede presso cui cercare un eventuale nesso è duplice: l'Archivio Storico Diplomatico (delegazioni CSCE e conferenze sul disarmo) e l'Archivio della Segreteria di Stato vaticana, sezione Rapporti con gli Stati, per il pontificato di Paolo VI, la cui apertura è stata disposta per gli anni di Pio XII e progressivamente estesa.</w:t>
      </w:r>
    </w:p>
    <w:p>
      <w:pPr>
        <w:pStyle w:val="Heading2"/>
        <w:spacing w:after="100" w:before="200"/>
      </w:pPr>
      <w:r>
        <w:rPr>
          <w:rFonts w:ascii="Barlow Semi Condensed" w:cs="Barlow Semi Condensed" w:eastAsia="Barlow Semi Condensed" w:hAnsi="Barlow Semi Condensed"/>
          <w:sz w:val="24"/>
          <w:szCs w:val="24"/>
        </w:rPr>
        <w:t xml:space="preserve">Capitolo X — La Santa Sede, la Spagna e la biografia di López Bravo</w:t>
      </w:r>
    </w:p>
    <w:p>
      <w:pPr>
        <w:spacing w:after="120" w:line="276"/>
        <w:jc w:val="both"/>
      </w:pPr>
      <w:r>
        <w:rPr>
          <w:rFonts w:ascii="Barlow Semi Condensed" w:cs="Barlow Semi Condensed" w:eastAsia="Barlow Semi Condensed" w:hAnsi="Barlow Semi Condensed"/>
          <w:sz w:val="24"/>
          <w:szCs w:val="24"/>
        </w:rPr>
        <w:t xml:space="preserve">Il quinto obiettivo verteva sulla posizione della Santa Sede e sull'Ostpolitik di Casaroli e Silvestrini. La revisione del Concordato lateranense costituisce il filo lungo: uno studio dell'Università di Padova (peer-reviewed) ne ricostruisce l'iter dal 1969 al 1984, fondandosi sugli archivi Gonella, Casaroli e Bartoletti e sul diario dell'ambasciatore Gianfranco Pompei, University of Padua (https://www.research.unipd.it/handle/11577/3421701) e collocando fra il 1976 e il 1983 la redazione delle sette bozze precedenti l'Accordo di Villa Madama del 18 febbraio 1984. Chiesacattolica.it (https://www.chiesacattolica.it/documenti-segreteria/accordo-di-revisione-del-concordato-lateranense-tra-la-santa-sede-e-la-repubblica-italiana/) Ne discende che durante il mandato di Moro (1969-1974) la revisione era in fase preparatoria e non produsse atti conclusivi: il dato va tenuto fermo contro ogni sovrapposizione anacronistica. Sul versante spagnolo, il caso López Bravo è centrale. La biografia di Gabriel Pérez Gómez (López Bravo. Una biografía, Rialp, Madrid 2024, 331 pp.) Delibris (https://www.delibris.org/es/lopez-bravo) è la novità storiografica più rilevante: l'autore, dottore in Scienze dell'informazione, ha lavorato sugli archivi della Biblioteca dell'Università di Navarra, su archivi statali e su documentazione della CIA. El Confidencial Digital (https://www.elconfidencialdigital.com/religion/articulo/de-libros/gregorio-lopez-bravo-miembro-opus-dei-servicio-progreso-espana/20241007004039050434.html) Le recensioni (El Confidencial Digital, Omnes) attestano che il libro pubblica per la prima volta la lunga nota che López Bravo, ministro degli Esteri spagnolo e membro dell'Opus Dei, Omnes (https://www.omnesmag.com/en/news/gabriel-perez-lopez-lopez-bravo-acted-freely/) scrisse in aereo subito dopo l'udienza del 12 gennaio 1973 con Paolo VI, definita dall'autore "di eccezionale importanza"; Omnes (https://www.omnesmag.com/en/news/gabriel-perez-lopez-lopez-bravo-acted-freely/) il recensore di El Confidencial Digital scrive che la nota "estremece" (fa fremere) e che "già solo per questo capitolo si giustifica la pubblicazione". El Confidencial Digital (https://www.elconfidencialdigital.com/religion/articulo/de-libros/gregorio-lopez-bravo-miembro-opus-dei-servicio-progreso-espana/20241007004039050434.html) López Bravo si era recato dal papa per consegnargli una lettera di Franco, nel pieno di uno scambio di corrispondenza sui rapporti fra Chiesa e Stato, la Conferenza episcopale e il privilegio di presentazione dei vescovi previsto dal Concordato del 27 agosto 1953. Esito negativo da registrare: le recensioni non riproducono il testo verbatim della nota, di cui riferiscono solo il tono; la sede per il contenuto è il libro stesso. Il caso Añoveros del 24 febbraio 1974 — omelia del vescovo di Bilbao a favore dell'identità basca, minaccia di espulsione da parte del governo Arias Navarro, controminaccia di scomunica — è documentato da Wikipedia in spagnolo e da memorie ecclesiastiche (cardinale Marcelo González): fu Cortina Mauri, ministro degli Esteri, a dare al nunzio Dadaglio quarantotto ore perché Añoveros lasciasse la Spagna. Wikipedia (https://es.wikipedia.org/wiki/Caso_A%C3%B1overos) Il documento memorialistico attesta la gravità del rischio di rottura fra Madrid e Santa Sede; non attesta alcun coinvolgimento italiano.</w:t>
      </w:r>
    </w:p>
    <w:p>
      <w:pPr>
        <w:pStyle w:val="Heading2"/>
        <w:spacing w:after="100" w:before="200"/>
      </w:pPr>
      <w:r>
        <w:rPr>
          <w:rFonts w:ascii="Barlow Semi Condensed" w:cs="Barlow Semi Condensed" w:eastAsia="Barlow Semi Condensed" w:hAnsi="Barlow Semi Condensed"/>
          <w:sz w:val="24"/>
          <w:szCs w:val="24"/>
        </w:rPr>
        <w:t xml:space="preserve">Capitolo XI — Il canale Pignedoli e la costruzione delle triangolazioni</w:t>
      </w:r>
    </w:p>
    <w:p>
      <w:pPr>
        <w:spacing w:after="120" w:line="276"/>
        <w:jc w:val="both"/>
      </w:pPr>
      <w:r>
        <w:rPr>
          <w:rFonts w:ascii="Barlow Semi Condensed" w:cs="Barlow Semi Condensed" w:eastAsia="Barlow Semi Condensed" w:hAnsi="Barlow Semi Condensed"/>
          <w:sz w:val="24"/>
          <w:szCs w:val="24"/>
        </w:rPr>
        <w:t xml:space="preserve">L'undicesimo punto raccoglie la triangolazione interna Italia–Santa Sede. Durante il sequestro Sossi (18 aprile – 23 maggio 1974), con Moro ministro degli Esteri, la Santa Sede fu segretamente coinvolta nella trattativa attraverso il cardinale Sergio Pignedoli: lo attesta la Treccani (voce "9 maggio 1978: lo schiaffo a Paolo VI", studio enciclopedico), che aggiunge come Moro, nel 1978, dalla prigionia, citasse per tre volte il nome di Pignedoli come canale per giungere "con mani sicure e rapide" al papa. Treccani (https://www.treccani.it/enciclopedia/9-maggio-1978-lo-schiaffo-a-paolo-vi-storia-e-fallimento-della-mediazione-vaticana-per-la-liberazione-di-aldo-moro_(Cristiani-d'Italia)/) Il documento (le lettere di Moro) attesta la fiducia di Moro in quel canale nel 1978; se ne inferisce, ma la fonte lo afferma esplicitamente per il 1974, che un canale vaticano di mediazione era già operativo al tempo del sequestro Sossi. Treccani (https://www.treccani.it/enciclopedia/9-maggio-1978-lo-schiaffo-a-paolo-vi-storia-e-fallimento-della-mediazione-vaticana-per-la-liberazione-di-aldo-moro_(Cristiani-d'Italia)/) Su questa base è possibile enunciare le tre triangolazioni richieste, distinguendo rigorosamente i piani. Prima triangolazione, Italia di Moro – Santa Sede: il grado di sostegno documentale è medio per il canale Pignedoli (fonte enciclopedica che rinvia alle lettere) e basso per una concertazione diplomatica multilaterale (Capitolo IX). Ciò che essa NON stabilisce: non esiste, nelle fonti reperite, prova di un coordinamento sistematico fra Farnesina e Segreteria di Stato nella politica estera 1969-1974; si tratta di convergenza di obiettivo (la mediazione umanitaria) episodica, non di alleanza strutturale. Seconda triangolazione, Italia di Moro – Spagna franchista: il grado di sostegno documentale è medio sul piano comunitario (accordo CEE-Spagna 1970, richiamo dell'ambasciatore nel 1975), ma quest'ultimo atto cade quando Moro è presidente del Consiglio, non ministro. Ciò che essa NON stabilisce: nessun contatto diretto documentato Moro–López Bravo o Moro–Cortina Mauri è emerso; la comunanza è di ambiente (il quadro CEE) e vi è una simultaneità di reazione (nel settembre 1975, secondo Startmag, "in poche ore diciassette Paesi richiamarono gli ambasciatori" da Madrid, mentre i presidenti delle Camere europee, riuniti a Roma il 26 settembre, avevano telegrafato a Franco chiedendo la grazia), non una convergenza di obiettivo provata. Terza triangolazione, Santa Sede – Spagna: è la meglio documentata (udienza del 12 gennaio 1973, caso Añoveros, Concordato del 1953), ma coinvolge Moro solo per contiguità cronologica e ambientale. Ciò che essa NON stabilisce: nessun ruolo italiano nelle tensioni ispano-vaticane. In sintesi, le tre triangolazioni vanno tenute distinte come convergenze di obiettivo (episodiche), simultaneità di reazione (1975) e comunanze di ambiente (le sedi multilaterali e il quadro CEE): la contemporaneità cronologica non è, in nessun caso, prova di nesso causale.</w:t>
      </w:r>
    </w:p>
    <w:p>
      <w:pPr>
        <w:pStyle w:val="Heading2"/>
        <w:spacing w:after="100" w:before="200"/>
      </w:pPr>
      <w:r>
        <w:rPr>
          <w:rFonts w:ascii="Barlow Semi Condensed" w:cs="Barlow Semi Condensed" w:eastAsia="Barlow Semi Condensed" w:hAnsi="Barlow Semi Condensed"/>
          <w:sz w:val="24"/>
          <w:szCs w:val="24"/>
        </w:rPr>
        <w:t xml:space="preserve">Capitolo XII — Tavola discorsiva delle acquisizioni documentali necessarie e non conseguite</w:t>
      </w:r>
    </w:p>
    <w:p>
      <w:pPr>
        <w:spacing w:after="120" w:line="276"/>
        <w:jc w:val="both"/>
      </w:pPr>
      <w:r>
        <w:rPr>
          <w:rFonts w:ascii="Barlow Semi Condensed" w:cs="Barlow Semi Condensed" w:eastAsia="Barlow Semi Condensed" w:hAnsi="Barlow Semi Condensed"/>
          <w:sz w:val="24"/>
          <w:szCs w:val="24"/>
        </w:rPr>
        <w:t xml:space="preserve">Chiude la ricognizione un bilancio degli esiti negativi, ordinati per rendimento atteso decrescente, ciascuno con la sede e la condizione di chiusura. Al primo posto, per rendimento, i carteggi del gabinetto del ministro Moro e la serie "Direzione Generale Affari Politici" e "Ambasciata d'Italia a Madrid" 1969-1974 presso l'Archivio Storico Diplomatico della Farnesina: teoricamente consultabili in forza della barriera dei cinquant'anni, restano di accesso incerto perché la disponibilità dei faldoni va verificata caso per caso; condizione di chiusura è la conferma inventariale da richiedere via portale asd.esteri.it. Al secondo posto, le repliche di Moro sui bilanci Esteri 1970, 1971, 1972 e 1974 con numero di seduta e data: reperibili nella raccolta Aldo Moro, Discorsi parlamentari (Camera, 1996) e nelle banche dati "dibattiti" di Camera e Senato per le legislature V e VI; condizione di chiusura è la consultazione diretta della raccolta a stampa, non accessibile in questa ricognizione per limiti dei portali. Al terzo posto, la corrispondenza fra il Ministerio de Asuntos Exteriores spagnolo e l'Embajada de España en Roma 1969-1975, e ogni traccia di contatto López Bravo/Cortina Mauri–Moro, presso l'Archivo General de la Administración di Alcalá de Henares: condizione di chiusura è la consultazione degli inventari del fondo del Servizio Esterno, non disponibili online in forma nominativa. Al quarto posto, il testo verbatim della nota redatta in aereo da López Bravo il 12 gennaio 1973: la sede è la biografia di Pérez Gómez (Rialp 2024) e, a monte, l'archivio dell'Università di Navarra; condizione di chiusura è la lettura del volume. Al quinto posto, i verbali di colloqui diretti Moro-Nixon e Moro-Rogers 1969-1972: sede è la serie FRUS 1969-1976 e i Nixon Presidential Materials (NSC Files, Country Files: Italy) ai National Archives di College Park; condizione di chiusura è lo spoglio dei volumi europei e mediterranei non esaminati. Al sesto posto, il telegramma 5472/0 del 29 dicembre 1972 sulla visita in Cina, il telegramma del 6 settembre 1970 da Tunisi sull'espulsione dalla Libia, l'accordo del 19 ottobre 1973 e il cablogramma Giovannone del 16 febbraio 1978: sedi rispettive l'Archivio Storico Diplomatico e l'archivio della Commissione Moro-2 presso l'Archivio Centrale dello Stato. Al settimo posto, per il nesso Italia–Santa Sede nelle sedi multilaterali, l'Archivio della Segreteria di Stato vaticana, sezione Rapporti con gli Stati, per il pontificato di Paolo VI: condizione di chiusura è l'apertura effettiva delle carte montiniane agli studiosi. Ogni esito negativo qui elencato è un'acquisizione di pieno valore: circoscrive ciò che allo stato non è dimostrabile e indica con precisione dove la dimostrazione andrebbe cercata.</w:t>
      </w:r>
    </w:p>
    <w:p>
      <w:r>
        <w:br w:type="page"/>
      </w:r>
    </w:p>
    <w:p>
      <w:pPr>
        <w:pStyle w:val="Heading1"/>
        <w:spacing w:after="120" w:before="240"/>
      </w:pPr>
      <w:r>
        <w:rPr>
          <w:rFonts w:ascii="Barlow Semi Condensed" w:cs="Barlow Semi Condensed" w:eastAsia="Barlow Semi Condensed" w:hAnsi="Barlow Semi Condensed"/>
          <w:sz w:val="24"/>
          <w:szCs w:val="24"/>
        </w:rPr>
        <w:t xml:space="preserve">Parte II — Il versante tedesco</w:t>
      </w:r>
    </w:p>
    <w:p>
      <w:pPr>
        <w:pStyle w:val="Heading1"/>
        <w:spacing w:after="120" w:before="240"/>
      </w:pPr>
      <w:r>
        <w:rPr>
          <w:rFonts w:ascii="Barlow Semi Condensed" w:cs="Barlow Semi Condensed" w:eastAsia="Barlow Semi Condensed" w:hAnsi="Barlow Semi Condensed"/>
          <w:sz w:val="24"/>
          <w:szCs w:val="24"/>
        </w:rPr>
        <w:t xml:space="preserve">Ricerca storiografica e archivistica su Aldo Moro Ministro degli Esteri, l'Opus Dei in Germania (1952–1985) e le loro triangolazioni</w:t>
      </w:r>
    </w:p>
    <w:p>
      <w:pPr>
        <w:pStyle w:val="Heading2"/>
        <w:spacing w:after="100" w:before="200"/>
      </w:pPr>
      <w:r>
        <w:rPr>
          <w:rFonts w:ascii="Barlow Semi Condensed" w:cs="Barlow Semi Condensed" w:eastAsia="Barlow Semi Condensed" w:hAnsi="Barlow Semi Condensed"/>
          <w:sz w:val="24"/>
          <w:szCs w:val="24"/>
        </w:rPr>
        <w:t xml:space="preserve">Capitolo I — Impianto del problema, proposizione da testare e disciplina delle fonti</w:t>
      </w:r>
    </w:p>
    <w:p>
      <w:pPr>
        <w:spacing w:after="120" w:line="276"/>
        <w:jc w:val="both"/>
      </w:pPr>
      <w:r>
        <w:rPr>
          <w:rFonts w:ascii="Barlow Semi Condensed" w:cs="Barlow Semi Condensed" w:eastAsia="Barlow Semi Condensed" w:hAnsi="Barlow Semi Condensed"/>
          <w:sz w:val="24"/>
          <w:szCs w:val="24"/>
        </w:rPr>
        <w:t xml:space="preserve">La presente ricerca sottopone a verifica una proposizione formulata dal committente e da lui dichiarata confutabile: l'insediamento dell'Opus Dei in un Paese richiederebbe la compresenza di due condizioni, ossia una maggioranza cattolica della popolazione e la disponibilità di un ceto universitario e professionale cattolico autoctono su cui l'apostolato possa radicarsi. Il caso tedesco è il banco di prova più significativo di questa ricognizione, per una ragione strutturale: l'ente registra ufficialmente la Germania al 1952 come anno d'inizio del lavoro stabile, ma la Repubblica Federale del secondo dopoguerra non era un Paese a maggioranza cattolica. Se dunque l'insediamento fu stabile pur in assenza di una maggioranza cattolica, la prima delle due condizioni cade, e resta operante soltanto la seconda. La fonte ufficiale dell'ente — il Centro Studi Josemaría Escrivá dell'Università di Navarra e i portali della Prelatura — colloca l'inizio del lavoro stabile in Germania nel 1952; il dato è convergente con la pubblicistica critica in lingua tedesca (Peter Hertel, Klaus Steigleder) e con fonti terze indipendenti (bistum-essen.de, katholisch.de, stampa nazionale tedesca). La convergenza fra la fonte dell'ente e fonti indipendenti sulla data e sui luoghi consente di trattare il dato dell'insediamento come acquisito con alta affidabilità, in ossequio alla regola che impone di verificare la fonte ufficiale contro fonti terze.</w:t>
      </w:r>
    </w:p>
    <w:p>
      <w:pPr>
        <w:spacing w:after="120" w:line="276"/>
        <w:jc w:val="both"/>
      </w:pPr>
      <w:r>
        <w:rPr>
          <w:rFonts w:ascii="Barlow Semi Condensed" w:cs="Barlow Semi Condensed" w:eastAsia="Barlow Semi Condensed" w:hAnsi="Barlow Semi Condensed"/>
          <w:sz w:val="24"/>
          <w:szCs w:val="24"/>
        </w:rPr>
        <w:t xml:space="preserve">La disciplina di metodo qui adottata è quella richiesta dal committente e la si dichiara in apertura perché governa l'intera trattazione. Si distingue rigorosamente ciò che il documento attesta da ciò che se ne inferisce; si impiega la fonte ufficiale dell'ente per i dati di fatto verificabili su membri e insediamenti, verificandola contro fonti indipendenti, ma non la si impiega per le valutazioni sulle responsabilità; non si tratta l'appartenenza di una persona a un'organizzazione come prova di una condotta dell'organizzazione, e questa è la prescrizione che prevale su ogni esigenza narrativa; non si tratta la contemporaneità cronologica come prova di un nesso; per le persone viventi si riportano esclusivamente fatti pubblici documentati, senza inferenze associative; ove le fonti divergano su una data o su un numero si riporta la divergenza anziché sceglierla silenziosamente; si segnala quando una tesi circolante nella pubblicistica non trova riscontro nelle fonti primarie, qualificandola come non sostenuta. Sono escluse dalle citazioni, per disposizione del committente, l'enciclopedia collaborativa Grokipedia e il quotidiano il Manifesto. La letteratura polemica in lingua tedesca sull'ente è abbondante — dai libri di Hertel alle inchieste dei fogli antifascisti — e viene qui trattata con questo criterio, segnalando ciò che non trova riscontro documentale. Si privilegiano, secondo l'indicazione ricevuta, le fonti in tedesco e in italiano per il merito, lo spagnolo per la storiografia dell'ente, l'inglese per la storiografia internazionale.</w:t>
      </w:r>
    </w:p>
    <w:p>
      <w:pPr>
        <w:pStyle w:val="Heading2"/>
        <w:spacing w:after="100" w:before="200"/>
      </w:pPr>
      <w:r>
        <w:rPr>
          <w:rFonts w:ascii="Barlow Semi Condensed" w:cs="Barlow Semi Condensed" w:eastAsia="Barlow Semi Condensed" w:hAnsi="Barlow Semi Condensed"/>
          <w:sz w:val="24"/>
          <w:szCs w:val="24"/>
        </w:rPr>
        <w:t xml:space="preserve">Capitolo II — L'insediamento dell'Opus Dei in Germania: cronologia, luoghi, protagonisti</w:t>
      </w:r>
    </w:p>
    <w:p>
      <w:pPr>
        <w:spacing w:after="120" w:line="276"/>
        <w:jc w:val="both"/>
      </w:pPr>
      <w:r>
        <w:rPr>
          <w:rFonts w:ascii="Barlow Semi Condensed" w:cs="Barlow Semi Condensed" w:eastAsia="Barlow Semi Condensed" w:hAnsi="Barlow Semi Condensed"/>
          <w:sz w:val="24"/>
          <w:szCs w:val="24"/>
        </w:rPr>
        <w:t xml:space="preserve">Secondo la fonte ufficiale dell'ente (Prelatura, «Kurzdarstellung der Anfänge des Opus Dei in Deutschland», documento datato 21 marzo 2006 e pubblicato su opusdei.org), i primi tre membri dell'Opus Dei giunsero in Germania nel 1952: l'ingegnere diplomato e sacerdote dal 1951 Alfons (Alfonso) Par (1922–2002), il commercialista Fernando Echeverría (1924–2015) e il filosofo Fernando Inciarte (1929–2000), che sarebbe poi divenuto ordinario a Münster. La prima residenza fu aperta nel 1953 all'Adenauerallee di Bonn e divenne poi lo Studentenheim Althaus, che la stessa fonte qualifica come l'unico centro tedesco ancora oggi esistente ad essere stato visitato dal fondatore. Il lavoro femminile iniziò nel 1956 con l'apertura dello Studentinnenheim Eigelstein, nella Hülchrather Straße a Colonia. Va segnalata sin d'ora una divergenza sulle date della prima residenza maschile, che si riporta anziché risolverla: la fonte ufficiale tedesca colloca l'apertura della residenza di Bonn nel 1953, mentre altre fonti dell'ente in altre lingue e larga parte della pubblicistica (anche critica, come l'Antifaschistisches Infoblatt) indicano il 1952 come anno dell'insediamento nella villa dell'Adenauerallee. La discrepanza si spiega verosimilmente con la distinzione fra l'arrivo dei primi membri (1952) e l'apertura formale della residenza (1953), ma resta una divergenza documentale da segnalare.</w:t>
      </w:r>
    </w:p>
    <w:p>
      <w:pPr>
        <w:spacing w:after="120" w:line="276"/>
        <w:jc w:val="both"/>
      </w:pPr>
      <w:r>
        <w:rPr>
          <w:rFonts w:ascii="Barlow Semi Condensed" w:cs="Barlow Semi Condensed" w:eastAsia="Barlow Semi Condensed" w:hAnsi="Barlow Semi Condensed"/>
          <w:sz w:val="24"/>
          <w:szCs w:val="24"/>
        </w:rPr>
        <w:t xml:space="preserve">Il dato geografico è dirimente per la domanda di ricerca e va enunciato con precisione. L'insediamento avvenne a Bonn e a Colonia, dunque nella Renania, cioè in una delle regioni storicamente cattoliche dell'ovest tedesco, appartenente all'arcidiocesi di Colonia. Bonn era, all'epoca, la capitale federale e sede universitaria. L'espansione successiva, documentata analiticamente dalla fonte ufficiale, seguì un andamento che privilegiò dapprima la Renania e la Vestfalia e solo tardivamente la Baviera: per gli uomini, Essen (1969), Aquisgrana (1971), Treviri e Berlino (1972), Münster (1976), Monaco (1977); per le donne, Essen (1971), Aquisgrana (1976), Jülich (1978, dove alcune di esse insegnavano in un liceo femminile), Münster (1979), Monaco (1980), Treviri (1987), Berlino (1992). La Baviera, cuore cattolico del sud tedesco, fu dunque raggiunta relativamente tardi, con Monaco nel 1977 per gli uomini e nel 1980 per le donne; la fonte ufficiale definisce Münster e Monaco «tappe importanti dell'espansione nella vecchia Repubblica Federale» in quanto punti d'appoggio rispettivamente nel nord e nel sud. opusdei (https://opusdei.org/de-de/article/kurzdarstellung-der-anfange-des-opus-dei-in-deutschland/) Dal 1962 operò a Colonia, con interruzioni, uno dei tre primissimi sacerdoti dell'Opus Dei in assoluto, José María Hernández de Garnica (1913–1972). La consistenza numerica attuale è indicata dalla fonte ufficiale in termini letterali: «Die Mitgliederzahl liegt heute in Deutschland bei knapp 600 bzw. über 1.000, wenn man die aktiven Mitarbeiter mitzählt» opusdei (https://opusdei.org/de-de/article/kurzdarstellung-der-anfange-des-opus-dei-in-deutschland/) — cioè poco meno di 600 membri, oltre 1.000 includendo i cooperatori attivi; il dato dei circa 600 membri in Germania è convergente con quello riportato da katholisch.de a fronte di circa 92.000 membri nel mondo. Per il periodo storico 1952–1985 la consistenza numerica puntuale non è documentata dalle fonti aperte e costituisce uno Stato Zero, la cui sede di chiusura è l'archivio della Prelatura.</w:t>
      </w:r>
    </w:p>
    <w:p>
      <w:pPr>
        <w:pStyle w:val="Heading2"/>
        <w:spacing w:after="100" w:before="200"/>
      </w:pPr>
      <w:r>
        <w:rPr>
          <w:rFonts w:ascii="Barlow Semi Condensed" w:cs="Barlow Semi Condensed" w:eastAsia="Barlow Semi Condensed" w:hAnsi="Barlow Semi Condensed"/>
          <w:sz w:val="24"/>
          <w:szCs w:val="24"/>
        </w:rPr>
        <w:t xml:space="preserve">Capitolo III — Il ruolo del cardinale Frings e l'accoglienza della gerarchia tedesca</w:t>
      </w:r>
    </w:p>
    <w:p>
      <w:pPr>
        <w:spacing w:after="120" w:line="276"/>
        <w:jc w:val="both"/>
      </w:pPr>
      <w:r>
        <w:rPr>
          <w:rFonts w:ascii="Barlow Semi Condensed" w:cs="Barlow Semi Condensed" w:eastAsia="Barlow Semi Condensed" w:hAnsi="Barlow Semi Condensed"/>
          <w:sz w:val="24"/>
          <w:szCs w:val="24"/>
        </w:rPr>
        <w:t xml:space="preserve">Un punto è documentato con particolare forza e risponde direttamente al quesito, posto dal committente, sull'atteggiamento della gerarchia ecclesiastica tedesca e in specie del cardinale Josef Frings di Colonia. Secondo una lettera del nunzio apostolico Giovanni Lajolo al vicario regionale Christoph Bockamp, ripresa dall'ente in occasione del cinquantenario dell'insediamento tedesco, fu «per la petizione del cardinale Frings, allora arcivescovo di Colonia» che i primi membri dell'Opus Dei giunsero a Colonia nel 1952. Opus Dei (https://opusdei.org/en-us/article/commemorative-book-in-germany/) Questo configura un'accoglienza attiva e sollecitante da parte dell'ordinario diocesano, non una semplice tolleranza, ed è per certi versi accostabile — pur con tutte le cautele imposte dalla differenza dei contesti — al modello portoghese di accoglienza già accertato dal committente nel caso del cardinale Cerejeira. Il dato è corroborato da fonti ecclesiastiche tedesche successive: il generalvicario di Colonia Dominik Schwaderlapp ha ricordato che «già dai tempi del cardinale Frings l'Opus Dei è attivo nell'arcidiocesi di Colonia e appartiene alla molteplice ricchezza della vita ecclesiale»; Kath (https://kath.net/print/15147) e il cardinale Joachim Meisner, in una predica del 19 gennaio 2002, ringraziò espressamente i suoi predecessori Frings e Höffner per aver fatto sì che «l'Opus Dei potesse mettere radici» a Colonia, definendo il duomo «quasi un luogo commemorativo di Escrivá». Blogger (http://hugendubelverdi.blogspot.com/2012/01/gottes-werk-und-des-kardinals-beitrag.html) La pubblicistica critica (taz) ha inoltre rilevato che Frings, ancora nel 1975, si adoperò presso il papa per una rapida beatificazione e canonizzazione di Escrivá. taz.de (https://taz.de/Der-Mann-der-das-fringsen-erfand-und-alten-Nazis-half/%21664899/)</w:t>
      </w:r>
    </w:p>
    <w:p>
      <w:pPr>
        <w:spacing w:after="120" w:line="276"/>
        <w:jc w:val="both"/>
      </w:pPr>
      <w:r>
        <w:rPr>
          <w:rFonts w:ascii="Barlow Semi Condensed" w:cs="Barlow Semi Condensed" w:eastAsia="Barlow Semi Condensed" w:hAnsi="Barlow Semi Condensed"/>
          <w:sz w:val="24"/>
          <w:szCs w:val="24"/>
        </w:rPr>
        <w:t xml:space="preserve">Occorre qui una nota di metodo che la materia impone. La stampa tedesca — per esempio il portale Belltower.News — ha talora incluso i cardinali di Colonia Frings, Höffner e Meisner tra i «membri» dell'Opus Dei. Questa affermazione non è sostenuta da fonti primarie e va qualificata come non provata. Il sostegno di un ordinario all'attività di un ente nella propria diocesi, per quanto convinto e prolungato, non equivale all'appartenenza personale all'ente, e la prescrizione metodologica impone di non trattare l'uno come prova dell'altra. Ciò che le fonti attestano con certezza è il patrocinio di Frings all'insediamento del 1952 e la benevolenza continuativa degli arcivescovi di Colonia; l'appartenenza personale dei tre cardinali all'ente non è documentata da fonti affidabili e va considerata una tesi pubblicistica non riscontrata. Dal punto di vista della domanda di ricerca, il dato rilevante e solido è che l'insediamento avvenne su iniziativa della gerarchia cattolica locale in una regione cattolica: circostanza che rafforza, e non indebolisce, la lettura secondo cui la base dell'insediamento fu il tessuto cattolico regionale e non la composizione confessionale del Paese nel suo insieme.</w:t>
      </w:r>
    </w:p>
    <w:p>
      <w:pPr>
        <w:pStyle w:val="Heading2"/>
        <w:spacing w:after="100" w:before="200"/>
      </w:pPr>
      <w:r>
        <w:rPr>
          <w:rFonts w:ascii="Barlow Semi Condensed" w:cs="Barlow Semi Condensed" w:eastAsia="Barlow Semi Condensed" w:hAnsi="Barlow Semi Condensed"/>
          <w:sz w:val="24"/>
          <w:szCs w:val="24"/>
        </w:rPr>
        <w:t xml:space="preserve">Capitolo IV — La composizione confessionale della Repubblica Federale, 1950–1980</w:t>
      </w:r>
    </w:p>
    <w:p>
      <w:pPr>
        <w:spacing w:after="120" w:line="276"/>
        <w:jc w:val="both"/>
      </w:pPr>
      <w:r>
        <w:rPr>
          <w:rFonts w:ascii="Barlow Semi Condensed" w:cs="Barlow Semi Condensed" w:eastAsia="Barlow Semi Condensed" w:hAnsi="Barlow Semi Condensed"/>
          <w:sz w:val="24"/>
          <w:szCs w:val="24"/>
        </w:rPr>
        <w:t xml:space="preserve">I dati statistici tedeschi, elaborati dalla Forschungsgruppe Weltanschauungen in Deutschland (fowid) su base dei censimenti dello Statistisches Bundesamt, attestano che nel 1950 la ripartizione confessionale della Repubblica Federale vedeva i protestanti al 50,6% e i cattolici al 45,8%, con il 96,4% della popolazione appartenente a una delle due grandi Chiese: la formulazione fowid è testuale — «1950 waren 96,4 % der Bevölkerung Mitglied einer der beiden Kirchen, mit einem etwas größeren Anteil der Evangelischen (50,6 %) gegenüber den Katholiken (45,8 %)». fowid (https://fowid.de/sites/default/files/download/religionszugehoerigkeit_bevoelkerung_1950-2005.pdf) Una fonte storiografica indipendente, il saggio «Konfession und Wahlverhalten in Deutschland» del Themenportal Europäische Geschichte (clio-online), fornisce per il 1950 valori leggermente diversi — protestanti al 51,2% e cattolici al 45,2% — precisando che i cattolici uscirono definitivamente dalla situazione di minoranza solo nel 1976, quando fu raggiunta la parità; Clio Online (https://www.europa.clio-online.de/essay/id/fdae-1690) la divergenza fra le due serie (fowid e clio-online) va riportata e non incide sulla sostanza. Nel 1970 i protestanti erano il 47,7% e i cattolici il 44,6% (fowid), fowid (https://fowid.de/meldung/religionszugehoerigkeiten-deutschland-2015) con il 92–93% della popolazione ancora appartenente alle due Chiese. Il dato dirimente è dunque pienamente acquisito e converge da fonti diverse: nella Repubblica Federale del secondo dopoguerra i cattolici erano una minoranza relativa, non una maggioranza, benché una minoranza molto ampia e prossima alla metà della popolazione.</w:t>
      </w:r>
    </w:p>
    <w:p>
      <w:pPr>
        <w:spacing w:after="120" w:line="276"/>
        <w:jc w:val="both"/>
      </w:pPr>
      <w:r>
        <w:rPr>
          <w:rFonts w:ascii="Barlow Semi Condensed" w:cs="Barlow Semi Condensed" w:eastAsia="Barlow Semi Condensed" w:hAnsi="Barlow Semi Condensed"/>
          <w:sz w:val="24"/>
          <w:szCs w:val="24"/>
        </w:rPr>
        <w:t xml:space="preserve">Questo esito falsifica, per il caso tedesco, la prima delle due condizioni della proposizione del committente. La Germania federale, considerata nel suo complesso, era a maggioranza (relativa) protestante; eppure l'Opus Dei vi si insediò stabilmente nel 1952. La divisione della Germania fu una determinante decisiva di questo assetto: la perdita dei territori orientali e la costituzione della DDR modificarono il peso confessionale relativo rispetto al Reich del 1871, quando i protestanti superavano il 60% ed erano religione di Stato; fowid (https://fowid.de/meldung/deutschland-konfessionen) sul territorio dei Länder poi confluiti nella Repubblica Federale esisteva invece, come nota fowid, una proporzione «quasi paritaria» fra protestanti e cattolici (dell'ordine di 51:48, 52:47). fowid (https://fowid.de/meldung/deutschland-konfessionen) La distribuzione regionale mantenne concentrazioni cattoliche nettissime: Baviera, Renania, Vestfalia e Saarland, quest'ultimo con il 98,2% di appartenenti alle Chiese nel 1950 e una schiacciante maggioranza cattolica. fowid (https://fowid.de/meldung/deutschland-3-katholische-sueden-und-westen) Fino al 1970 il cattolicesimo restò la religione di maggioranza nella Renania-Vestfalia. fowid (https://fowid.de/meldung/deutschland-3-katholische-sueden-und-westen) L'espulsione dei tedeschi dai territori orientali (dai Sudeti, dalla Slesia, dalla Prussia orientale) produsse una mescolanza confessionale nelle regioni di accoglienza, con effetti di erosione del milieu cattolico documentati dalla storiografia specialistica: Michael Hirschfeld, nella monografia </w:t>
      </w:r>
      <w:r>
        <w:rPr>
          <w:rFonts w:ascii="Barlow Semi Condensed" w:cs="Barlow Semi Condensed" w:eastAsia="Barlow Semi Condensed" w:hAnsi="Barlow Semi Condensed"/>
          <w:i/>
          <w:iCs/>
          <w:sz w:val="24"/>
          <w:szCs w:val="24"/>
        </w:rPr>
        <w:t xml:space="preserve">Katholisches Milieu und Vertriebene. Eine Fallstudie am Beispiel des Oldenburger Landes 1945–1965</w:t>
      </w:r>
      <w:r>
        <w:rPr>
          <w:rFonts w:ascii="Barlow Semi Condensed" w:cs="Barlow Semi Condensed" w:eastAsia="Barlow Semi Condensed" w:hAnsi="Barlow Semi Condensed"/>
          <w:sz w:val="24"/>
          <w:szCs w:val="24"/>
        </w:rPr>
        <w:t xml:space="preserve">, colloca l'inizio dell'erosione del milieu cattolico già nell'immediato dopoguerra, per effetto dell'afflusso dei profughi, anticipandolo rispetto alla lettura corrente che lo legava alla contestazione del 1968. Perlentaucher (https://www.perlentaucher.de/buch/michael-hirschfeld/katholisches-milieu-und-vertriebene.html?r=print)</w:t>
      </w:r>
    </w:p>
    <w:p>
      <w:pPr>
        <w:pStyle w:val="Heading2"/>
        <w:spacing w:after="100" w:before="200"/>
      </w:pPr>
      <w:r>
        <w:rPr>
          <w:rFonts w:ascii="Barlow Semi Condensed" w:cs="Barlow Semi Condensed" w:eastAsia="Barlow Semi Condensed" w:hAnsi="Barlow Semi Condensed"/>
          <w:sz w:val="24"/>
          <w:szCs w:val="24"/>
        </w:rPr>
        <w:t xml:space="preserve">Capitolo V — Il ceto cattolico tedesco come milieu socialmente organizzato</w:t>
      </w:r>
    </w:p>
    <w:p>
      <w:pPr>
        <w:spacing w:after="120" w:line="276"/>
        <w:jc w:val="both"/>
      </w:pPr>
      <w:r>
        <w:rPr>
          <w:rFonts w:ascii="Barlow Semi Condensed" w:cs="Barlow Semi Condensed" w:eastAsia="Barlow Semi Condensed" w:hAnsi="Barlow Semi Condensed"/>
          <w:sz w:val="24"/>
          <w:szCs w:val="24"/>
        </w:rPr>
        <w:t xml:space="preserve">La seconda condizione della proposizione — la disponibilità di un ceto universitario e professionale cattolico autoctono — è nel caso tedesco non solo soddisfatta, ma soddisfatta in misura eccezionale, tanto che essa costituisce il vero perno esplicativo dell'insediamento. La storiografia tedesca dispone di una categoria consolidata per descrivere questo fenomeno, quella di «katholisches Milieu», milieu cattolico socialmente organizzato, e ne individua indicatori precisi. Esisteva una tradizione partitica di lungo periodo — lo Zentrum, poi confluito, insieme alla bavarese Bayerische Volkspartei, nell'interconfessionale CDU/CSU del dopoguerra; Clio Online (https://www.europa.clio-online.de/essay/id/fdae-1690) esisteva una fitta rete associativa e caritativa (il Kolpingwerk, i Katholikentag, le opere assistenziali Misereor e Adveniat, entrambe promosse proprio da Frings); Wikipedia (https://en.wikipedia.org/wiki/Josef_Frings) esisteva una stampa cattolica strutturata; esistevano le associazioni studentesche cattoliche organizzate nel Cartellverband, l'associazione degli accademici cattolici (Katholischer Akademikerverband), la Görres-Gesellschaft per la promozione della scienza, e il sistema delle facoltà teologiche di Stato. La letteratura politologica (Kühr, Oberndörfer e altri) descrive per la Germania un'«asimmetria confessionale-politica»: esisteva un milieu cattolico, una partitica cattolica, un cattolicesimo politico, senza un equivalente protestante di pari organizzazione. Springer (https://link.springer.com/chapter/10.1007/978-3-322-88718-4_27) La bibliografia specialistica su questo tema — dalla voce enciclopedica tedesca ai saggi di Springer — qualifica dunque il cattolicesimo tedesco del dopoguerra proprio come milieu socialmente organizzato, e non come mera confessione statistica.</w:t>
      </w:r>
    </w:p>
    <w:p>
      <w:pPr>
        <w:spacing w:after="120" w:line="276"/>
        <w:jc w:val="both"/>
      </w:pPr>
      <w:r>
        <w:rPr>
          <w:rFonts w:ascii="Barlow Semi Condensed" w:cs="Barlow Semi Condensed" w:eastAsia="Barlow Semi Condensed" w:hAnsi="Barlow Semi Condensed"/>
          <w:sz w:val="24"/>
          <w:szCs w:val="24"/>
        </w:rPr>
        <w:t xml:space="preserve">È in questo milieu, e non in una consistenza maggioritaria che non esisteva, che va cercata la base sociale dell'insediamento, e le fonti lo confermano puntualmente. L'Opus Dei si radicò precisamente sul ceto studentesco e professionale cattolico delle città renane universitarie: la prima residenza fu uno Studentenheim a Bonn, sede dell'università e della capitale federale, e il primo lavoro femminile a Colonia fu uno Studentinnenheim. È significativo che le due tedesche che accolsero le prime tre spagnole alla stazione centrale di Colonia il 12 ottobre 1956 fossero Käthe Retz (1928–2018), assistente all'Università di Bonn dove aveva studiato psicologia, e Marlies Kücking (nata 1936), all'epoca matricola universitaria: Opus Dei (https://opusdei.org/en/article/fragments-of-history-campus-muengersdorf/) espressione diretta e nominata di quel ceto accademico cattolico su cui l'apostolato poteva radicarsi. Anche il profilo dei primi tre membri arrivati nel 1952 — un ingegnere-sacerdote, un commercialista e un filosofo destinato alla cattedra di Münster — conferma la selettività verso l'ambiente universitario e professionale, coerente con la strategia originaria dell'ente, sin dagli anni spagnoli, di rivolgersi anzitutto agli intellettuali e agli studenti universitari. DeWiki (https://dewiki.de/Lexikon/Opus_Dei)</w:t>
      </w:r>
    </w:p>
    <w:p>
      <w:pPr>
        <w:pStyle w:val="Heading2"/>
        <w:spacing w:after="100" w:before="200"/>
      </w:pPr>
      <w:r>
        <w:rPr>
          <w:rFonts w:ascii="Barlow Semi Condensed" w:cs="Barlow Semi Condensed" w:eastAsia="Barlow Semi Condensed" w:hAnsi="Barlow Semi Condensed"/>
          <w:sz w:val="24"/>
          <w:szCs w:val="24"/>
        </w:rPr>
        <w:t xml:space="preserve">Capitolo VI — La conseguenza per la proposizione del committente</w:t>
      </w:r>
    </w:p>
    <w:p>
      <w:pPr>
        <w:spacing w:after="120" w:line="276"/>
        <w:jc w:val="both"/>
      </w:pPr>
      <w:r>
        <w:rPr>
          <w:rFonts w:ascii="Barlow Semi Condensed" w:cs="Barlow Semi Condensed" w:eastAsia="Barlow Semi Condensed" w:hAnsi="Barlow Semi Condensed"/>
          <w:sz w:val="24"/>
          <w:szCs w:val="24"/>
        </w:rPr>
        <w:t xml:space="preserve">Il caso tedesco produce una conseguenza netta, che si enuncia senza adattamenti in ossequio all'esplicita richiesta di non difendere la proposizione ma di sottoporla al caso avverso. La prima condizione — la maggioranza cattolica — cade: la Repubblica Federale non era a maggioranza cattolica nel 1952 e non lo divenne mai nel periodo 1952–1985. La seconda condizione — il ceto universitario e professionale cattolico autoctono — è invece pienamente soddisfatta, e nella forma più robusta possibile, quella di un milieu organizzato. L'insediamento, inoltre, non fu territorialmente indifferenziato: avvenne selettivamente nelle regioni e nelle città a forte presenza cattolica dell'ovest (Bonn, Colonia, la Renania), su iniziativa e con il patrocinio dell'ordinario cattolico locale, e raggiunse la Baviera cattolica soltanto un quarto di secolo dopo. Ne segue che, per la Germania, la proposizione va riformulata: opera la seconda condizione, non la prima. La maggioranza cattolica nazionale non è necessaria all'insediamento; la presenza di un ceto cattolico autoctono organizzato, concentrato regionalmente, sì.</w:t>
      </w:r>
    </w:p>
    <w:p>
      <w:pPr>
        <w:spacing w:after="120" w:line="276"/>
        <w:jc w:val="both"/>
      </w:pPr>
      <w:r>
        <w:rPr>
          <w:rFonts w:ascii="Barlow Semi Condensed" w:cs="Barlow Semi Condensed" w:eastAsia="Barlow Semi Condensed" w:hAnsi="Barlow Semi Condensed"/>
          <w:sz w:val="24"/>
          <w:szCs w:val="24"/>
        </w:rPr>
        <w:t xml:space="preserve">Va tuttavia aggiunta una precisazione che complica la lettura semplice, e che la correttezza logica impone di esplicitare. Il committente ha definito la proposizione falsificabile «dal reperimento di un insediamento stabile in un Paese a maggioranza non cattolica </w:t>
      </w:r>
      <w:r>
        <w:rPr>
          <w:rFonts w:ascii="Barlow Semi Condensed" w:cs="Barlow Semi Condensed" w:eastAsia="Barlow Semi Condensed" w:hAnsi="Barlow Semi Condensed"/>
          <w:i/>
          <w:iCs/>
          <w:sz w:val="24"/>
          <w:szCs w:val="24"/>
        </w:rPr>
        <w:t xml:space="preserve">e</w:t>
      </w:r>
      <w:r>
        <w:rPr>
          <w:rFonts w:ascii="Barlow Semi Condensed" w:cs="Barlow Semi Condensed" w:eastAsia="Barlow Semi Condensed" w:hAnsi="Barlow Semi Condensed"/>
          <w:sz w:val="24"/>
          <w:szCs w:val="24"/>
        </w:rPr>
        <w:t xml:space="preserve"> privo di ceto cattolico autoctono». Il caso tedesco soddisfa il primo requisito (maggioranza non cattolica) ma non il secondo, perché la Germania è, al contrario, un Paese dotatissimo di ceto cattolico autoctono. Il caso tedesco falsifica dunque la sola prima condizione, dimostrando che essa non è necessaria; ma non costituisce la confutazione integrale della proposizione congiunta, la quale richiederebbe un insediamento in un Paese che difetti di entrambe le condizioni. La confutazione integrale andrebbe cercata nei casi asiatici e africani elencati dal committente fra i potenzialmente confutanti — Giappone 1958, Kenya 1958, Nigeria 1965, India 1993, ISJE (https://www.isje.org/en/history-of-opus-dei/) Kazakistan 1997, Indonesia 2008, Sri Lanka 2011 — non esaminati in questa sede e che restano il naturale prolungamento della ricerca. La Germania, in conclusione, non abbatte l'intera proposizione ma ne demolisce con certezza documentale la prima metà.</w:t>
      </w:r>
    </w:p>
    <w:p>
      <w:pPr>
        <w:pStyle w:val="Heading2"/>
        <w:spacing w:after="100" w:before="200"/>
      </w:pPr>
      <w:r>
        <w:rPr>
          <w:rFonts w:ascii="Barlow Semi Condensed" w:cs="Barlow Semi Condensed" w:eastAsia="Barlow Semi Condensed" w:hAnsi="Barlow Semi Condensed"/>
          <w:sz w:val="24"/>
          <w:szCs w:val="24"/>
        </w:rPr>
        <w:t xml:space="preserve">Capitolo VII — Il confronto sistematico con gli altri casi europei</w:t>
      </w:r>
    </w:p>
    <w:p>
      <w:pPr>
        <w:spacing w:after="120" w:line="276"/>
        <w:jc w:val="both"/>
      </w:pPr>
      <w:r>
        <w:rPr>
          <w:rFonts w:ascii="Barlow Semi Condensed" w:cs="Barlow Semi Condensed" w:eastAsia="Barlow Semi Condensed" w:hAnsi="Barlow Semi Condensed"/>
          <w:sz w:val="24"/>
          <w:szCs w:val="24"/>
        </w:rPr>
        <w:t xml:space="preserve">Il confronto con gli altri Paesi europei rafforza e precisa la conclusione. La cronologia ufficiale dell'ente (Centro Studi Escrivá dell'Università di Navarra, e cronologia della Prelatura) registra le seguenti date d'inizio del lavoro stabile: Portogallo 1945; Italia e Gran Bretagna 1946; Francia e Irlanda 1947; Germania 1952; Svizzera 1956; Austria 1957; Opus Dei (https://opusdei.org/de-de/article/pressemitteilung-die-praelatur-opus-dei-in-mitteleuropa-stellt-sich-neu-auf-de/) University of Navarra (https://en.unav.edu/web/josemaria-escriva-study-centre/opus-dei-y-prelados) Olanda 1959 o 1960 (le fonti dell'ente divergono fra le due date, e la divergenza si riporta); Belgio 1965; Svezia 1984. University of Navarra (https://en.unav.edu/web/josemaria-escriva-study-centre/opus-dei-y-prelados) Due casi sono dirimenti quanto quello tedesco, poiché riguardano Paesi a maggioranza protestante: la Gran Bretagna (1946) e la Svezia (1984). In Gran Bretagna il lavoro iniziò il 28 dicembre 1946 con l'arrivo a Londra dello spagnolo Juan Antonio Galarraga (1920–2005), Opus Dei (https://opusdei.org/en-uk/article/history-of-opus-dei-in-britain/) numerario dal 1940, giunto per proseguire la ricerca post-dottorale in farmacia alla London University; Opus Dei (https://opusdei.org/en-uk/article/history-of-opus-dei-in-britain/) la prima residenza fu a Rutland Court, poi trasferita a Netherhall House a Hampstead, e il primo centro femminile aprì nel 1952. Opus Dei (https://opusdei.org/en-uk/article/history-of-opus-dei-in-britain/) La Gran Bretagna era ed è a maggioranza protestante (anglicana), con una minoranza cattolica organizzata: il caso conferma indipendentemente dalla Germania che la maggioranza cattolica non è condizione necessaria, mentre lo sono la presenza di un grande ambiente universitario (Londra) e di una minoranza cattolica su cui radicarsi. Anzi, la Gran Bretagna precede la Germania di sei anni e mostra che l'ente, sin dalla sua prima espansione europea, non selezionò i Paesi in base alla confessione maggioritaria.</w:t>
      </w:r>
    </w:p>
    <w:p>
      <w:pPr>
        <w:spacing w:after="120" w:line="276"/>
        <w:jc w:val="both"/>
      </w:pPr>
      <w:r>
        <w:rPr>
          <w:rFonts w:ascii="Barlow Semi Condensed" w:cs="Barlow Semi Condensed" w:eastAsia="Barlow Semi Condensed" w:hAnsi="Barlow Semi Condensed"/>
          <w:sz w:val="24"/>
          <w:szCs w:val="24"/>
        </w:rPr>
        <w:t xml:space="preserve">La Svezia (1984) è il caso a maggioranza protestante più estremo, con una minoranza cattolica minima e in larga parte non autoctona. La cronologia ufficiale la registra come inizio del lavoro stabile, ma una fonte critica specializzata (opus-info.org) segnala che nei Paesi di più recente impianto — «Svezia, Ungheria, Russia» — la grande maggioranza dei numerari sono di provenienza spagnola. Opus-Info (https://www.opus-info.org/index.php/Statistik_der_Mitglieder_des_Opus_Dei) Ciò suggerisce che in questi casi l'insediamento poggi inizialmente su membri importati più che su un ceto autoctono, il che indebolisce anche la seconda condizione e complica ulteriormente il quadro: là dove manca il ceto cattolico autoctono, l'ente sembra procedere per trapianto di personale, non per radicamento locale. La Svizzera (1956, primo centro a Zurigo, città a forte componente protestante, con l'arrivo dall'Italia dell'architetto Pedro Turull e del sacerdote-psichiatra Johannes B. Torelló, entrambi provenienti dall'attività a Napoli, Milano e Palermo), Novaradio (https://novaradio.ch/deutsch/opus-dei/) l'Austria (1957, Vienna, cattolica e concepita dal fondatore come «porta verso l'Europa centro-orientale»), l'Olanda (mista con forte minoranza cattolica) e il Belgio (1965, cattolico) completano il quadro. La regolarità che emerge dall'insieme dei casi europei non è la maggioranza cattolica del Paese, bensì la compresenza di città universitarie e di un nucleo cattolico: autoctono e organizzato dove esiste (Germania, Austria, Belgio, Svizzera renana), importato dalla Spagna dove il cattolicesimo autoctono è debole (Svezia). Il confronto europeo, dunque, corrobora la falsificazione della prima condizione ottenuta sul caso tedesco.</w:t>
      </w:r>
    </w:p>
    <w:p>
      <w:pPr>
        <w:pStyle w:val="Heading2"/>
        <w:spacing w:after="100" w:before="200"/>
      </w:pPr>
      <w:r>
        <w:rPr>
          <w:rFonts w:ascii="Barlow Semi Condensed" w:cs="Barlow Semi Condensed" w:eastAsia="Barlow Semi Condensed" w:hAnsi="Barlow Semi Condensed"/>
          <w:sz w:val="24"/>
          <w:szCs w:val="24"/>
        </w:rPr>
        <w:t xml:space="preserve">Capitolo VIII — L'Opus Dei e la vita pubblica tedesca; le controversie</w:t>
      </w:r>
    </w:p>
    <w:p>
      <w:pPr>
        <w:spacing w:after="120" w:line="276"/>
        <w:jc w:val="both"/>
      </w:pPr>
      <w:r>
        <w:rPr>
          <w:rFonts w:ascii="Barlow Semi Condensed" w:cs="Barlow Semi Condensed" w:eastAsia="Barlow Semi Condensed" w:hAnsi="Barlow Semi Condensed"/>
          <w:sz w:val="24"/>
          <w:szCs w:val="24"/>
        </w:rPr>
        <w:t xml:space="preserve">Attenendosi rigorosamente ai fatti pubblici documentati e alla prescrizione che l'appartenenza non prova la condotta, si può accertare quanto segue circa la presenza dell'ente nella vita pubblica, accademica ed economica tedesca del periodo 1952–1985. Il membro tedesco di maggiore rilievo accademico documentato dalla fonte ufficiale è Fernando Inciarte (1929–2000), filosofo divenuto ordinario all'Università di Münster; ma Inciarte era di origine spagnola, tra i primissimi arrivati del 1952, e non un tedesco autoctono reclutato in loco, circostanza che va segnalata per non falsare il quadro. La rete istituzionale collegata all'apostolato comprende la «Studentische Kulturgemeinschaft e.V.», fondata nel 1953 come organizzazione-quadro dello Studentenheim di Bonn e di successivi centri educativi (le case «Hoher Weg» ad Augsburg, «Fausenburg» a Trier, «Am Städel» a Francoforte, «Weidenau» a Monaco), la cui direzione spirituale è affidata all'Opus Dei; Antifaschistisches Infoblatt (https://antifainfoblatt.de/aib85/opus-dei-kampftruppe-gottes) e le case di formazione Aufderhöhe a Solingen, Zieglerhof a Ettal in Baviera e Haus Hardtberg nell'Eifel. Sono fatti pubblici e documentati dalla stessa fonte dell'ente. Non risultano invece, dalle fonti reperite, membri tedeschi autoctoni in posizioni pubbliche o economiche di primo piano documentati per il periodo con fonti affidabili: l'individuazione richiederebbe l'accesso agli archivi della Prelatura, e ogni attribuzione andrebbe comunque tenuta distinta da qualunque inferenza sulla condotta dell'ente.</w:t>
      </w:r>
    </w:p>
    <w:p>
      <w:pPr>
        <w:spacing w:after="120" w:line="276"/>
        <w:jc w:val="both"/>
      </w:pPr>
      <w:r>
        <w:rPr>
          <w:rFonts w:ascii="Barlow Semi Condensed" w:cs="Barlow Semi Condensed" w:eastAsia="Barlow Semi Condensed" w:hAnsi="Barlow Semi Condensed"/>
          <w:sz w:val="24"/>
          <w:szCs w:val="24"/>
        </w:rPr>
        <w:t xml:space="preserve">Sul fronte delle controversie pubbliche, la Germania fu teatro di una polemica accesa soprattutto a partire dagli anni Ottanta, coincidenti con l'erezione a prelatura personale. Il giornalista Peter Hertel fu il principale critico: pubblicò trasmissioni radiofoniche e i volumi </w:t>
      </w:r>
      <w:r>
        <w:rPr>
          <w:rFonts w:ascii="Barlow Semi Condensed" w:cs="Barlow Semi Condensed" w:eastAsia="Barlow Semi Condensed" w:hAnsi="Barlow Semi Condensed"/>
          <w:i/>
          <w:iCs/>
          <w:sz w:val="24"/>
          <w:szCs w:val="24"/>
        </w:rPr>
        <w:t xml:space="preserve">Ich verspreche euch den Himmel</w:t>
      </w:r>
      <w:r>
        <w:rPr>
          <w:rFonts w:ascii="Barlow Semi Condensed" w:cs="Barlow Semi Condensed" w:eastAsia="Barlow Semi Condensed" w:hAnsi="Barlow Semi Condensed"/>
          <w:sz w:val="24"/>
          <w:szCs w:val="24"/>
        </w:rPr>
        <w:t xml:space="preserve"> (Patmos, 1985) e </w:t>
      </w:r>
      <w:r>
        <w:rPr>
          <w:rFonts w:ascii="Barlow Semi Condensed" w:cs="Barlow Semi Condensed" w:eastAsia="Barlow Semi Condensed" w:hAnsi="Barlow Semi Condensed"/>
          <w:i/>
          <w:iCs/>
          <w:sz w:val="24"/>
          <w:szCs w:val="24"/>
        </w:rPr>
        <w:t xml:space="preserve">Schleichende Übernahme</w:t>
      </w:r>
      <w:r>
        <w:rPr>
          <w:rFonts w:ascii="Barlow Semi Condensed" w:cs="Barlow Semi Condensed" w:eastAsia="Barlow Semi Condensed" w:hAnsi="Barlow Semi Condensed"/>
          <w:sz w:val="24"/>
          <w:szCs w:val="24"/>
        </w:rPr>
        <w:t xml:space="preserve"> (Publik-Forum, 2002). Opus Dei (https://opusdei.org/de-de/article/dauerbrenner-opus-dei-verdachtigung/) Klaus Steigleder pubblicò </w:t>
      </w:r>
      <w:r>
        <w:rPr>
          <w:rFonts w:ascii="Barlow Semi Condensed" w:cs="Barlow Semi Condensed" w:eastAsia="Barlow Semi Condensed" w:hAnsi="Barlow Semi Condensed"/>
          <w:i/>
          <w:iCs/>
          <w:sz w:val="24"/>
          <w:szCs w:val="24"/>
        </w:rPr>
        <w:t xml:space="preserve">Das Opus Dei. Eine Innenansicht</w:t>
      </w:r>
      <w:r>
        <w:rPr>
          <w:rFonts w:ascii="Barlow Semi Condensed" w:cs="Barlow Semi Condensed" w:eastAsia="Barlow Semi Condensed" w:hAnsi="Barlow Semi Condensed"/>
          <w:sz w:val="24"/>
          <w:szCs w:val="24"/>
        </w:rPr>
        <w:t xml:space="preserve"> (1983, poi in quarta edizione nel 1990). Springer (https://link.springer.com/chapter/10.1007/978-3-322-95152-6_2) L'ente reagì per via legale e per via apologetica: il 27 novembre 1984 lo studio legale monacense Gritschneder/Ehrensperger/Widl presentò, per conto dell'«Opus Dei e.V.» e del vicario regionale César Ortiz, una querela presso la sezione civile del Landgericht München I; IBKA (https://www.ibka.org/artikel/miz86/opusdei.html) e diffuse contro-pubblicazioni ufficiali (Hans Thomas, </w:t>
      </w:r>
      <w:r>
        <w:rPr>
          <w:rFonts w:ascii="Barlow Semi Condensed" w:cs="Barlow Semi Condensed" w:eastAsia="Barlow Semi Condensed" w:hAnsi="Barlow Semi Condensed"/>
          <w:i/>
          <w:iCs/>
          <w:sz w:val="24"/>
          <w:szCs w:val="24"/>
        </w:rPr>
        <w:t xml:space="preserve">Opus Dei: Vorwürfe und Antworten</w:t>
      </w:r>
      <w:r>
        <w:rPr>
          <w:rFonts w:ascii="Barlow Semi Condensed" w:cs="Barlow Semi Condensed" w:eastAsia="Barlow Semi Condensed" w:hAnsi="Barlow Semi Condensed"/>
          <w:sz w:val="24"/>
          <w:szCs w:val="24"/>
        </w:rPr>
        <w:t xml:space="preserve">). Nel dicembre 1984 una parrocchia di Colonia rifiutò di accogliere il primo parroco Opus Dei della Germania Ovest, padre Peter Irrgang, che fu poi accolto dalla piccola comunità di Kreuzweingarten Christian Science Monitor (https://www.csmonitor.com/1984/1231/123131.html) (Christian Science Monitor, 31 dicembre 1984): l'episodio documenta al tempo stesso una reticenza a livello di singola parrocchia e la persistente accoglienza a livello diocesano. Quanto alla gerarchia, non risulta dalle fonti reperite una presa di posizione formale e negativa della Deutsche Bischofskonferenz contro l'ente; l'erezione a prelatura personale con la costituzione apostolica </w:t>
      </w:r>
      <w:r>
        <w:rPr>
          <w:rFonts w:ascii="Barlow Semi Condensed" w:cs="Barlow Semi Condensed" w:eastAsia="Barlow Semi Condensed" w:hAnsi="Barlow Semi Condensed"/>
          <w:i/>
          <w:iCs/>
          <w:sz w:val="24"/>
          <w:szCs w:val="24"/>
        </w:rPr>
        <w:t xml:space="preserve">Ut sit</w:t>
      </w:r>
      <w:r>
        <w:rPr>
          <w:rFonts w:ascii="Barlow Semi Condensed" w:cs="Barlow Semi Condensed" w:eastAsia="Barlow Semi Condensed" w:hAnsi="Barlow Semi Condensed"/>
          <w:sz w:val="24"/>
          <w:szCs w:val="24"/>
        </w:rPr>
        <w:t xml:space="preserve"> (datata 28 novembre 1982, con atto esecutivo del 19 marzo 1983) fu preceduta, secondo la fonte ufficiale, dalla consultazione degli «oltre duemila vescovi delle diocesi nelle quali l'Opus Dei era presente», Opus Dei (https://opusdei.org/de/article/die-personalpraelatur-opus-dei-wie-sie-organisiert-ist-und-wie-sie-arbeitet/) Opus Dei (https://opusdei.org/it-it/article/prelatura-personale/) tra cui gli ordinari tedeschi, e la dichiarazione di Álvaro del Portillo alla Conferenza episcopale tedesca è documentata (Presseamt des Erzbistums Köln, Dokumente 185, 3 settembre 1983). Opus Dei (https://multimedia.opusdei.org/pdf/de/vorwuerfe.pdf) Circa l'atteggiamento della Democrazia Cristiana tedesca e dei partiti dell'Unione verso l'istituzione, le fonti reperite non documentano una posizione ufficiale di partito, e l'esito è pertanto uno Stato Zero da colmare presso l'Archiv für Christlich-Demokratische Politik della Konrad-Adenauer-Stiftung. Si applica per l'intero capitolo la prescrizione assoluta: nessuno dei fatti qui riportati — l'appartenenza di questa o quella persona, il possesso di questa o quella struttura — costituisce di per sé prova di una condotta dell'organizzazione.</w:t>
      </w:r>
    </w:p>
    <w:p>
      <w:pPr>
        <w:pStyle w:val="Heading2"/>
        <w:spacing w:after="100" w:before="200"/>
      </w:pPr>
      <w:r>
        <w:rPr>
          <w:rFonts w:ascii="Barlow Semi Condensed" w:cs="Barlow Semi Condensed" w:eastAsia="Barlow Semi Condensed" w:hAnsi="Barlow Semi Condensed"/>
          <w:sz w:val="24"/>
          <w:szCs w:val="24"/>
        </w:rPr>
        <w:t xml:space="preserve">Capitolo IX — Aldo Moro Ministro degli Esteri e la Repubblica Federale: gli atti della Ostpolitik</w:t>
      </w:r>
    </w:p>
    <w:p>
      <w:pPr>
        <w:spacing w:after="120" w:line="276"/>
        <w:jc w:val="both"/>
      </w:pPr>
      <w:r>
        <w:rPr>
          <w:rFonts w:ascii="Barlow Semi Condensed" w:cs="Barlow Semi Condensed" w:eastAsia="Barlow Semi Condensed" w:hAnsi="Barlow Semi Condensed"/>
          <w:sz w:val="24"/>
          <w:szCs w:val="24"/>
        </w:rPr>
        <w:t xml:space="preserve">Aldo Moro fu ministro degli Affari Esteri della Repubblica Italiana dal 5 agosto 1969 al 26 giugno 1972 (nei governi Rumor II e III, Colombo e Andreotti I) e dal 7 luglio 1973 al 23 novembre 1974 (nei governi Rumor IV e V), Esteri (https://www.esteri.it/it/ministero/storia/ministri_esteri/) come attesta la scheda ufficiale del Ministero degli Affari Esteri e della Cooperazione Internazionale. Il suo doppio mandato coincise con la fase centrale e più intensa della Ostpolitik del cancelliere Willy Brandt e del ministro degli Esteri, e vicecancelliere, Walter Scheel. I cinque atti la cui incidenza sulla posizione italiana costituiva l'obiettivo residuo della ricognizione anteriore sono: il Trattato di Mosca (12 agosto 1970), con cui la Repubblica Federale riconobbe la linea Oder-Neisse e rinunciò a rivendicazioni territoriali; willy-brandt-biography +2 (https://www.willy-brandt-biography.com/travels/1967-1974/) il Trattato di Varsavia (7 dicembre 1970) con la Polonia, di analogo contenuto; Wikipedia (https://en.wikipedia.org/wiki/Kniefall_von_Warschau) Dizie (https://www.dizie.eu/dizionario/ostpolitik/?print=pdf) l'Accordo quadripartito su Berlino (3 settembre 1971), siglato da Francia, Regno Unito, Stati Uniti e Unione Sovietica; LuissThesis (https://tesi.luiss.it/34225/1/090762_DI%20NARDO_FRANCESCO.pdf) il Trattato fondamentale fra le due Germanie (Grundlagenvertrag, 21 dicembre 1972); Berchet (https://liceoberchet.edu.it/ricerche/geo5d_06/csi/ostpolitik.htm) e l'ingresso di entrambe le Germanie alle Nazioni Unite (18 settembre 1973). Dizie (https://www.dizie.eu/dizionario/ostpolitik/?print=pdf) È già accertato, e qui si conferma, che il riconoscimento diplomatico italiano della Repubblica Democratica Tedesca avvenne SISSCO (https://www.sissco.it/recensione-annale/la-ddr-e-litalia-politica-commercio-e-ideologia-nelleuropa-del-cambiamento-1973-1985/) il 17 gennaio 1973, dunque nell'intervallo fra i due mandati di Moro, quando titolare della Farnesina era Giuseppe Medici; e che la collocazione del riconoscimento italiano dopo la firma del Grundlagenvertrag Fbk (https://aro-isig.fbk.eu/issues/2018/1/la-ddr-e-litalia-teresa-malice/pdf/) fu coerente con la sequenza concordata in ambito occidentale.</w:t>
      </w:r>
    </w:p>
    <w:p>
      <w:pPr>
        <w:spacing w:after="120" w:line="276"/>
        <w:jc w:val="both"/>
      </w:pPr>
      <w:r>
        <w:rPr>
          <w:rFonts w:ascii="Barlow Semi Condensed" w:cs="Barlow Semi Condensed" w:eastAsia="Barlow Semi Condensed" w:hAnsi="Barlow Semi Condensed"/>
          <w:sz w:val="24"/>
          <w:szCs w:val="24"/>
        </w:rPr>
        <w:t xml:space="preserve">La posizione puntuale del governo italiano su ciascuno dei cinque atti resta, nelle fonti secondarie reperite, ricostruibile solo per grandi linee, e va dichiarata in larga parte come Stato Zero da colmare in archivio. La cornice generale è però documentata dalla storiografia. Laura Fasanaro, nella monografia </w:t>
      </w:r>
      <w:r>
        <w:rPr>
          <w:rFonts w:ascii="Barlow Semi Condensed" w:cs="Barlow Semi Condensed" w:eastAsia="Barlow Semi Condensed" w:hAnsi="Barlow Semi Condensed"/>
          <w:i/>
          <w:iCs/>
          <w:sz w:val="24"/>
          <w:szCs w:val="24"/>
        </w:rPr>
        <w:t xml:space="preserve">La DDR e l'Italia. Politica, commercio e ideologia nell'Europa del cambiamento</w:t>
      </w:r>
      <w:r>
        <w:rPr>
          <w:rFonts w:ascii="Barlow Semi Condensed" w:cs="Barlow Semi Condensed" w:eastAsia="Barlow Semi Condensed" w:hAnsi="Barlow Semi Condensed"/>
          <w:sz w:val="24"/>
          <w:szCs w:val="24"/>
        </w:rPr>
        <w:t xml:space="preserve"> (Carocci, 2017 — le fonti indicano nel titolo sia il 1990 sia il 1985 come termine finale, divergenza editoriale che si riporta), primo studio italiano sulle relazioni politiche fra Italia e DDR, colloca l'inizio della trattazione proprio al 1973, anno del riconoscimento italiano. SISSCO (https://www.sissco.it/recensione-annale/la-ddr-e-litalia-politica-commercio-e-ideologia-nelleuropa-del-cambiamento-1973-1985/) Il recensore Francesco Di Palma (sehepunkte, 2018) sintetizza la tesi dell'autrice attestando che «le origini di questi rapporti presuntamente privilegiati risalgono all'azione del politico democristiano Aldo Moro», presidente del Consiglio dal 1963 al 1968 e poi dal 1974 al 1976 e «fautore di una coerente politica di distensione verso gli Stati del blocco orientale», strategia intesa a promuovere in modo differenziato il dialogo e la cooperazione politica ed economica con Paesi «realsocialisti» selezionati, anzitutto la DDR. SEHEPUNKTE (https://www.sehepunkte.de/2018/04/31274.html) L'Italia accolse dunque con favore la distensione brandtiana in quanto coerente con la propria linea, insieme europeista e atlantica; ma la posizione italiana sui singoli trattati — e in particolare l'atteggiamento sul negoziato quadripartito su Berlino, materia in cui l'Italia non era parte contraente ma alleato NATO interessato — non è documentata dalle fonti secondarie reperite e va cercata nella serie Germania dell'Archivio Storico Diplomatico del MAECI e nei volumi annuali degli </w:t>
      </w:r>
      <w:r>
        <w:rPr>
          <w:rFonts w:ascii="Barlow Semi Condensed" w:cs="Barlow Semi Condensed" w:eastAsia="Barlow Semi Condensed" w:hAnsi="Barlow Semi Condensed"/>
          <w:i/>
          <w:iCs/>
          <w:sz w:val="24"/>
          <w:szCs w:val="24"/>
        </w:rPr>
        <w:t xml:space="preserve">Akten zur Auswärtigen Politik der Bundesrepublik Deutschland</w:t>
      </w:r>
      <w:r>
        <w:rPr>
          <w:rFonts w:ascii="Barlow Semi Condensed" w:cs="Barlow Semi Condensed" w:eastAsia="Barlow Semi Condensed" w:hAnsi="Barlow Semi Condensed"/>
          <w:sz w:val="24"/>
          <w:szCs w:val="24"/>
        </w:rPr>
        <w:t xml:space="preserve"> (AAPD).</w:t>
      </w:r>
    </w:p>
    <w:p>
      <w:pPr>
        <w:pStyle w:val="Heading2"/>
        <w:spacing w:after="100" w:before="200"/>
      </w:pPr>
      <w:r>
        <w:rPr>
          <w:rFonts w:ascii="Barlow Semi Condensed" w:cs="Barlow Semi Condensed" w:eastAsia="Barlow Semi Condensed" w:hAnsi="Barlow Semi Condensed"/>
          <w:sz w:val="24"/>
          <w:szCs w:val="24"/>
        </w:rPr>
        <w:t xml:space="preserve">Capitolo X — Gli incontri Moro-Brandt e Moro-Scheel</w:t>
      </w:r>
    </w:p>
    <w:p>
      <w:pPr>
        <w:spacing w:after="120" w:line="276"/>
        <w:jc w:val="both"/>
      </w:pPr>
      <w:r>
        <w:rPr>
          <w:rFonts w:ascii="Barlow Semi Condensed" w:cs="Barlow Semi Condensed" w:eastAsia="Barlow Semi Condensed" w:hAnsi="Barlow Semi Condensed"/>
          <w:sz w:val="24"/>
          <w:szCs w:val="24"/>
        </w:rPr>
        <w:t xml:space="preserve">La ricognizione ha permesso di accertare, contro fonti nominate, alcuni incontri documentati e di distinguerli con precisione da quelli soltanto inferiti. La Bundeskanzler-Willy-Brandt-Stiftung, fonte ufficiale della cronologia dei viaggi di Brandt, documenta un incontro Moro-Brandt anteriore alla cancelleria: il 31 agosto-1º settembre 1969, a Roma, Brandt ancora ministro degli Esteri della Grande Coalizione ebbe «colloqui con il ministro degli Esteri Moro» willy-brandt-biography (https://www.willy-brandt-biography.com/travels/1967-1974/) — dunque un bilaterale fra ministri degli Esteri circa sette settimane prima che Brandt divenisse cancelliere e poche settimane dopo l'assunzione dell'incarico da parte di Moro. Come cancelliere, Brandt visitò Roma due volte nel 1970: il 12-14 luglio 1970, con colloqui con il presidente della Repubblica Giuseppe Saragat e il presidente del Consiglio Mariano Rumor, e udienza privata da Paolo VI in Vaticano; willy-brandt-biography (https://www.willy-brandt-biography.com/travels/1967-1974/) e il 23-25 novembre 1970, con colloqui con il presidente del Consiglio Emilio Colombo e con Saragat. willy-brandt-biography (https://www.willy-brandt-biography.com/travels/1967-1974/) La fonte ufficiale della Fondazione Brandt, che elenca selettivamente i soli capi di Stato e di governo, non nomina esplicitamente Moro come partecipante alle due visite del 1970; ma Moro era ministro degli Esteri in carica a entrambe le date, sicché la sua presenza ai colloqui bilaterali è altamente probabile pur non essendo documentata nominativamente. La distinzione fra il documentato e l'inferito va qui mantenuta con rigore: la conferma nominativa andrebbe cercata negli AAPD 1970 e nella serie Germania del MAECI. L'Istituto Luce conserva il filmato «Visita ufficiale del cancelliere Willy Brandt a Roma» (segnatura IL5000085939), catalogato al 1970, che mostra l'incontro Saragat-Brandt al Quirinale e il ricevimento da parte del sindaco di Roma Clelio Darida, senza tuttavia menzionare Moro né precisare il giorno.</w:t>
      </w:r>
    </w:p>
    <w:p>
      <w:pPr>
        <w:spacing w:after="120" w:line="276"/>
        <w:jc w:val="both"/>
      </w:pPr>
      <w:r>
        <w:rPr>
          <w:rFonts w:ascii="Barlow Semi Condensed" w:cs="Barlow Semi Condensed" w:eastAsia="Barlow Semi Condensed" w:hAnsi="Barlow Semi Condensed"/>
          <w:sz w:val="24"/>
          <w:szCs w:val="24"/>
        </w:rPr>
        <w:t xml:space="preserve">Un contatto Moro-Scheel a Bonn è documentato da una fonte primaria derivata: il documentario dei filmati amatoriali dell'ambasciatore italiano a Bonn Mario Luciolli (in carica 1964–1976), catalogato da Stefano Baldi, mostra nel 1971 a Bad Godesberg il presidente del Consiglio Emilio Colombo e il ministro degli Esteri Aldo Moro all'Ambasciata d'Italia, Wordpress (https://diplosor.wordpress.com/documentario-con-i-filmati-dellamb-mario-luciolli-1964-1984/) in un ricevimento cui presero parte anche Genscher e Scheel; wordpress (https://diplosor.wordpress.com/documentario-con-i-filmati-dellamb-mario-luciolli-1964-1984/) lo stesso documentario mostra Moro nuovamente nell'area di Bonn nel 1972, ancora ministro degli Esteri. Wordpress (https://diplosor.wordpress.com/documentario-con-i-filmati-dellamb-mario-luciolli-1964-1984/) La data calendariale esatta della visita Colombo-Moro del 1971 non è precisata dalla fonte (verosimilmente legata al semestre di presidenza italiana del Consiglio delle Comunità), e le datazioni «1971» e «1972» sono etichette dell'archivista da corroborare con gli AAPD e la serie Germania del MAECI. Non è stato invece possibile confermare, nelle fonti aperte, un singolo incontro bilaterale Moro-Scheel isolato e datato con precisione: la loro ripetuta compresenza ai Consigli dei ministri della CEE e alle ministeriali della NATO è accertata come prassi ricorrente ma non è itemizzata in incontri puntuali. Al Vertice dell'Aja (1-2 dicembre 1969) la delegazione italiana fu guidata dal presidente del Consiglio Mariano Rumor; Archive of European Integration (https://aei.pitt.edu/1451/1/hague_1969.pdf) la didascalia ufficiale della fotografia del vertice menziona i capi di Stato e di governo «e i loro ministri degli Esteri», Willy Brandt (https://www.willy-brandt-biography.com/travels/1967-1974/) sicché la partecipazione di Moro alla delegazione è implicita e coerente col suo ruolo, ma egli non è individualmente nominato nelle fonti reperite. In sintesi: è documentato con certezza il bilaterale Moro-Brandt del 31 agosto-1º settembre 1969; sono documentate le visite di Brandt a Roma del luglio e novembre 1970 e la presenza di Moro accanto a Colombo a Bonn nel 1971 in un contesto con Scheel; è inferita ma non confermata la partecipazione nominativa di Moro alle visite romane di Brandt e al Vertice dell'Aja; non è confermato un bilaterale Moro-Scheel isolato e datato.</w:t>
      </w:r>
    </w:p>
    <w:p>
      <w:pPr>
        <w:pStyle w:val="Heading2"/>
        <w:spacing w:after="100" w:before="200"/>
      </w:pPr>
      <w:r>
        <w:rPr>
          <w:rFonts w:ascii="Barlow Semi Condensed" w:cs="Barlow Semi Condensed" w:eastAsia="Barlow Semi Condensed" w:hAnsi="Barlow Semi Condensed"/>
          <w:sz w:val="24"/>
          <w:szCs w:val="24"/>
        </w:rPr>
        <w:t xml:space="preserve">Capitolo XI — Il versante economico, comunitario e migratorio</w:t>
      </w:r>
    </w:p>
    <w:p>
      <w:pPr>
        <w:spacing w:after="120" w:line="276"/>
        <w:jc w:val="both"/>
      </w:pPr>
      <w:r>
        <w:rPr>
          <w:rFonts w:ascii="Barlow Semi Condensed" w:cs="Barlow Semi Condensed" w:eastAsia="Barlow Semi Condensed" w:hAnsi="Barlow Semi Condensed"/>
          <w:sz w:val="24"/>
          <w:szCs w:val="24"/>
        </w:rPr>
        <w:t xml:space="preserve">I rapporti economici italo-tedeschi del periodo hanno il loro atto fondativo nell'Accordo per il reclutamento e il collocamento di manodopera italiana nella Repubblica Federale, firmato a Roma il 20 dicembre 1955. bpb (https://www.bpb.de/kurz-knapp/hintergrund-aktuell/324552/erstes-anwerbeabkommen-vor-65-jahren/) Sulla titolarità delle firme le fonti divergono, e la divergenza si riporta: la Fondazione Migrantes indica come firmatari il ministro federale del Lavoro Anton Storch e il ministro italiano degli Esteri Gaetano Martino; Fondazione Migrantes (https://www.migrantes.it/1955-2015-gastarbeiter-un-viaggio-lungo-60-anni/) altre fonti (Stampa Parlamento) indicano per parte tedesca il ministro dell'Economia Ludwig Erhard. Stampa Parlamento (https://www.stampaparlamento.it/2022/03/04/laccordo-italo-tedesco-del-20-dicembre-1955/) L'accordo avviò l'emigrazione dei cosiddetti Gastarbeiter, i «lavoratori ospiti», impiegati dapprima nel sud-ovest tedesco in agricoltura e nell'edilizia. Fondazione Migrantes (https://www.migrantes.it/1955-2015-gastarbeiter-un-viaggio-lungo-60-anni/) La dimensione del fenomeno è quantificata concordemente: la Bundeszentrale für politische Bildung attesta che «nei cinque decenni successivi giunsero a lavorare in Germania quasi quattro milioni di italiani» bpb (https://www.bpb.de/kurz-knapp/hintergrund-aktuell/324552/erstes-anwerbeabkommen-vor-65-jahren/) (bpb.de), dato ripreso anche dalla pubblicistica italiana; e lo storico Roberto Sala (Vierteljahrshefte für Zeitgeschichte, 55/2007) precisa che circa l'89% di quei quattro milioni fece poi ritorno in Italia, Wikipedia (https://de.wikipedia.org/wiki/Anwerbeabkommen_zwischen_der_Bundesrepublik_Deutschland_und_Italien) a conferma del carattere in larga parte circolare della migrazione. La questione migratoria fu una costante dei rapporti bilaterali durante il ministero Moro, intrecciata alla progressiva attuazione della libera circolazione dei lavoratori nella Comunità economica europea, Storicamente (https://storicamente.org/migrazioni-prontera) che rese in parte superfluo il canale dell'accordo bilaterale.</w:t>
      </w:r>
    </w:p>
    <w:p>
      <w:pPr>
        <w:spacing w:after="120" w:line="276"/>
        <w:jc w:val="both"/>
      </w:pPr>
      <w:r>
        <w:rPr>
          <w:rFonts w:ascii="Barlow Semi Condensed" w:cs="Barlow Semi Condensed" w:eastAsia="Barlow Semi Condensed" w:hAnsi="Barlow Semi Condensed"/>
          <w:sz w:val="24"/>
          <w:szCs w:val="24"/>
        </w:rPr>
        <w:t xml:space="preserve">Sul versante comunitario e monetario, il Vertice dell'Aja del 1-2 dicembre 1969 costituì lo snodo, e vi si colloca il tentativo italiano di bilanciare l'asse franco-tedesco, già accertato dal committente e qui documentato nel dettaglio. Nella ricostruzione storiografica (Maria Eleonora Guasconi; il saggio di Officina della Storia sul vertice), dei tre elementi del «trittico» — completamento, approfondimento, allargamento CVCE (https://www.cvce.eu/en/recherche/unit-content/-/unit/02bb76df-d066-4c08-a58a-d4686a3e68ff/a4b76b9e-9b8b-4752-9657-05e26c5a1f5d) — l'Italia, e personalmente Aldo Moro, sostenne apertamente l'ingresso della Gran Bretagna nella CEE nella speranza che una convergenza fra Roma e Londra servisse a bilanciare il preponderante asse franco-tedesco. Officinadellastoria (https://www.officinadellastoria.eu/it/2018/07/19/leuropa-tra-crisi-e-rilancio-il-vertice-dellaja-del-1969/) Per i timori nutriti verso l'unione economica e monetaria, Moro propose di accompagnare il cammino monetario con analoghi provvedimenti di cooperazione politica, con l'elezione diretta del Parlamento europeo e con una politica per la gioventù europea; Officinadellastoria (https://www.officinadellastoria.eu/it/2018/07/19/leuropa-tra-crisi-e-rilancio-il-vertice-dellaja-del-1969/) e, secondo la stessa ricostruzione, arrivò a minacciare di non partecipare al vertice se il presidente francese Pompidou non avesse inserito nel comunicato finale una data d'inizio dei negoziati con la Gran Bretagna, rendendosi protagonista anche di un «giallo» sulla data di convocazione del vertice. Officinadellastoria (https://www.officinadellastoria.eu/it/2018/07/19/leuropa-tra-crisi-e-rilancio-il-vertice-dellaja-del-1969/) Il mandato dell'Aja generò il Rapporto Werner (presentato l'8 maggio 1970, versione finale nell'ottobre 1970): sul piano dell'unione monetaria il piano tedesco «economicista» (Piano Schiller, 12 febbraio 1970) era appoggiato da Italia e Olanda, mentre il piano belga-lussemburghese «monetarista» era appoggiato dalla Francia. vLex (https://eu.vlex.com/vid/werner-istituzioni-governo-monetario-264867494) Il «serpente monetario» nacque nel 1972; la lira italiana ne uscì Unibo (https://aldomorodigitale.unibo.it/additional_resources/?id=141&amp;type=essay) nel febbraio 1973 e vi rientrò soltanto alla vigilia dell'entrata in funzione del Sistema Monetario Europeo nel 1979. Unipd (https://thesis.unipd.it/retrieve/a718646f-1fb5-445a-9b20-aeb407baaafb/Petrila_Andreea_Roxana.pdf) Il tentativo italiano di bilanciare l'asse franco-tedesco attraverso l'apertura a Londra e l'accoppiamento fra cooperazione monetaria e cooperazione politica fu dunque una costante della politica europea di Moro ministro degli Esteri.</w:t>
      </w:r>
    </w:p>
    <w:p>
      <w:pPr>
        <w:pStyle w:val="Heading2"/>
        <w:spacing w:after="100" w:before="200"/>
      </w:pPr>
      <w:r>
        <w:rPr>
          <w:rFonts w:ascii="Barlow Semi Condensed" w:cs="Barlow Semi Condensed" w:eastAsia="Barlow Semi Condensed" w:hAnsi="Barlow Semi Condensed"/>
          <w:sz w:val="24"/>
          <w:szCs w:val="24"/>
        </w:rPr>
        <w:t xml:space="preserve">Capitolo XII — Esiti negativi, documenti desecretati e archivi; tavola delle acquisizioni non conseguite</w:t>
      </w:r>
    </w:p>
    <w:p>
      <w:pPr>
        <w:spacing w:after="120" w:line="276"/>
        <w:jc w:val="both"/>
      </w:pPr>
      <w:r>
        <w:rPr>
          <w:rFonts w:ascii="Barlow Semi Condensed" w:cs="Barlow Semi Condensed" w:eastAsia="Barlow Semi Condensed" w:hAnsi="Barlow Semi Condensed"/>
          <w:sz w:val="24"/>
          <w:szCs w:val="24"/>
        </w:rPr>
        <w:t xml:space="preserve">Questo capitolo raccoglie gli esiti negativi, che secondo la prescrizione ricevuta sono acquisizioni di pieno valore, ciascuno con l'indicazione della sede presso cui la ricerca andrebbe condotta. Prima acquisizione mancata: nel CIA FOIA Electronic Reading Room e nella collezione CREST non è stato reperito, nelle ricerche condotte, alcun documento desecretato specificamente relativo all'Opus Dei in relazione alla Germania; l'esito negativo era previsto dal committente e va verificato mediante interrogazione diretta e sistematica del readingroom (foia.cia.gov/readingroom) con stringhe combinate, prima di considerarlo definitivo. Seconda: la posizione puntuale del governo italiano su ciascuno dei cinque atti della Ostpolitik non è documentata dalle fonti secondarie reperite; la sede di chiusura è la serie Germania 1969-1975 dell'Archivio Storico Diplomatico del Ministero degli Affari Esteri, con l'avvertenza già accertata dell'esclusione temporanea dei Telegrammi 1942-1970, e i volumi annuali degli AAPD editi dall'Institut für Zeitgeschichte per l'Auswärtiges Amt, oltre all'Edizione Nazionale delle Opere di Aldo Moro. Terza: la presenza nominativa di Moro alle visite di Brandt a Roma del luglio e del novembre 1970 e al Vertice dell'Aja è inferita ma non confermata; la sede di chiusura sono gli AAPD 1969-1970 e la serie Germania del MAECI. Quarta: un incontro bilaterale Moro-Scheel isolato e datato non è stato confermato; sede AAPD e MAECI, oltre alla documentazione dei Consigli CEE e delle ministeriali NATO. Quinta: la posizione ufficiale della CDU/CSU e dei partiti dell'Unione verso l'Opus Dei non è documentata; sede l'Archiv für Christlich-Demokratische Politik della Konrad-Adenauer-Stiftung. Sesta: la tesi di dottorato di Filippo Triola, discussa all'Università di Bologna nel 2013 sui rapporti politici ed economici italo-tedeschi dopo il 1945, Freie Universität Berlin (https://www.geisteswissenschaften.fu-berlin.de/it/italienzentrum/forschung-lehre/Gastdozent_innen/Ex-docenti/Filippo-Triola/index.html) è reperibile su AMS Dottorato di Unibo ma la parte edita e consultata copre prevalentemente il periodo 1945-1955 Unibo (https://amsdottorato.unibo.it/id/eprint/5721/1/Triola_Flippo_Tesi.pdf) (poi confluita nel volume </w:t>
      </w:r>
      <w:r>
        <w:rPr>
          <w:rFonts w:ascii="Barlow Semi Condensed" w:cs="Barlow Semi Condensed" w:eastAsia="Barlow Semi Condensed" w:hAnsi="Barlow Semi Condensed"/>
          <w:i/>
          <w:iCs/>
          <w:sz w:val="24"/>
          <w:szCs w:val="24"/>
        </w:rPr>
        <w:t xml:space="preserve">L'alleato naturale</w:t>
      </w:r>
      <w:r>
        <w:rPr>
          <w:rFonts w:ascii="Barlow Semi Condensed" w:cs="Barlow Semi Condensed" w:eastAsia="Barlow Semi Condensed" w:hAnsi="Barlow Semi Condensed"/>
          <w:sz w:val="24"/>
          <w:szCs w:val="24"/>
        </w:rPr>
        <w:t xml:space="preserve">, Le Monnier, 2017); il testo integrale andrebbe consultato per il periodo 1963-1972 di specifico interesse. Settima: la consistenza numerica storica dell'insediamento tedesco per gli anni 1952-1985 e la cronologia interna dettagliata non sono documentate dalle fonti aperte; la sede primaria è costituita dall'Archivio Generale della Prelatura a Roma e dal Centro Studi Josemaría Escrivá dell'Università di Navarra, entrambi ad accesso ristretto.</w:t>
      </w:r>
    </w:p>
    <w:p>
      <w:pPr>
        <w:spacing w:after="120" w:line="276"/>
        <w:jc w:val="both"/>
      </w:pPr>
      <w:r>
        <w:rPr>
          <w:rFonts w:ascii="Barlow Semi Condensed" w:cs="Barlow Semi Condensed" w:eastAsia="Barlow Semi Condensed" w:hAnsi="Barlow Semi Condensed"/>
          <w:sz w:val="24"/>
          <w:szCs w:val="24"/>
        </w:rPr>
        <w:t xml:space="preserve">La tavola discorsiva delle acquisizioni documentali necessarie e non conseguite, ordinate per rendimento atteso, si chiude come segue. A rendimento più alto si collocano congiuntamente la serie Germania dell'Archivio Storico Diplomatico del MAECI e i volumi degli AAPD: la loro consultazione chiuderebbe insieme la posizione italiana sui cinque atti della Ostpolitik e la conferma nominativa e datata degli incontri Moro-Brandt e Moro-Scheel; la condizione di chiusura è l'accesso in sala studio e il superamento dell'esclusione temporanea dei Telegrammi 1942-1970. A rendimento medio-alto si collocano gli archivi della Prelatura e il Centro Studi di Navarra, per i dati numerici storici e la cronologia interna dell'insediamento tedesco; condizione di chiusura è l'autorizzazione all'accesso ristretto. A rendimento medio si colloca l'Archiv für Christlich-Demokratische Politik, per l'atteggiamento dei partiti dell'Unione verso l'ente; condizione di chiusura è la consultazione dei fondi di partito. A rendimento incerto ma da verificare si colloca il CIA FOIA readingroom, con previsione di esito negativo; condizione di chiusura è l'interrogazione sistematica. Il Bundesarchiv di Coblenza e il Politisches Archiv des Auswärtigen Amts di Berlino completano il quadro documentale per il versante tedesco, sia diplomatico sia interno. Resta fermo, e non condizionato dalle acquisizioni mancanti, il risultato principale di questa ricerca: per la Germania la prima condizione della proposizione del committente — la maggioranza cattolica della popolazione — è falsificata con certezza documentale, poiché la Repubblica Federale era a maggioranza relativa protestante e l'Opus Dei vi si insediò comunque stabilmente nel 1952; mentre la seconda condizione — la disponibilità di un ceto universitario e professionale cattolico autoctono, qui presente nella forma robusta di un milieu socialmente organizzato — è pienamente confermata. Con l'avvertenza, che la correttezza logica impone di ribadire in chiusura, che il caso tedesco falsifica la sola prima condizione e non costituisce la confutazione integrale della proposizione congiunta, la quale resta affidata all'esame dei casi extraeuropei non ancora studiati.</w:t>
      </w:r>
    </w:p>
    <w:p>
      <w:r>
        <w:br w:type="page"/>
      </w:r>
    </w:p>
    <w:p>
      <w:pPr>
        <w:pStyle w:val="Heading1"/>
        <w:spacing w:after="120" w:before="240"/>
      </w:pPr>
      <w:r>
        <w:rPr>
          <w:rFonts w:ascii="Barlow Semi Condensed" w:cs="Barlow Semi Condensed" w:eastAsia="Barlow Semi Condensed" w:hAnsi="Barlow Semi Condensed"/>
          <w:sz w:val="24"/>
          <w:szCs w:val="24"/>
        </w:rPr>
        <w:t xml:space="preserve">Parte III — Il versante portoghese</w:t>
      </w:r>
    </w:p>
    <w:p>
      <w:pPr>
        <w:pStyle w:val="Heading1"/>
        <w:spacing w:after="120" w:before="240"/>
      </w:pPr>
      <w:r>
        <w:rPr>
          <w:rFonts w:ascii="Barlow Semi Condensed" w:cs="Barlow Semi Condensed" w:eastAsia="Barlow Semi Condensed" w:hAnsi="Barlow Semi Condensed"/>
          <w:sz w:val="24"/>
          <w:szCs w:val="24"/>
        </w:rPr>
        <w:t xml:space="preserve">Aldo Moro, l'Opus Dei in Portogallo e le loro triangolazioni. Ricognizione storiografica e archivistica in dodici capitoli</w:t>
      </w:r>
    </w:p>
    <w:p>
      <w:pPr>
        <w:pStyle w:val="Heading2"/>
        <w:spacing w:after="100" w:before="200"/>
      </w:pPr>
      <w:r>
        <w:rPr>
          <w:rFonts w:ascii="Barlow Semi Condensed" w:cs="Barlow Semi Condensed" w:eastAsia="Barlow Semi Condensed" w:hAnsi="Barlow Semi Condensed"/>
          <w:sz w:val="24"/>
          <w:szCs w:val="24"/>
        </w:rPr>
        <w:t xml:space="preserve">TL;DR</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L'Opus Dei si insediò in Portogallo dal 5 febbraio 1945 su iniziativa del fondatore Josemaría Escrivá (viaggio sollecitato da suor Lúcia di Fátima), ma — a differenza radicale del caso spagnolo — non ebbe mai un ruolo governativo tecnocratico comparabile: anzi, la polizia politica PIDE/DGS la sorvegliò per decenni sospettando una "cospirazione", senza mai provarla.</w:t>
      </w:r>
      <w:r>
        <w:rPr>
          <w:rFonts w:ascii="Barlow Semi Condensed" w:cs="Barlow Semi Condensed" w:eastAsia="Barlow Semi Condensed" w:hAnsi="Barlow Semi Condensed"/>
          <w:sz w:val="24"/>
          <w:szCs w:val="24"/>
        </w:rPr>
        <w:t xml:space="preserve"> La consistenza attuale è modesta (1.615 membri secondo i dati ufficiali di dicembre 2021). CNN Portugal (https://cnnportugal.iol.pt/religiao/igreja-catolica/o-papa-francisco-usou-cilicio-entrevista-rara-do-lider-do-opus-dei-que-assume-acolhimento-de-homossexuais/20220205/61fd3b150cf2cc58e7e10649)</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Nessun documento collega Aldo Moro all'Opus Dei in alcuna veste: si conferma lo Stato Zero.</w:t>
      </w:r>
      <w:r>
        <w:rPr>
          <w:rFonts w:ascii="Barlow Semi Condensed" w:cs="Barlow Semi Condensed" w:eastAsia="Barlow Semi Condensed" w:hAnsi="Barlow Semi Condensed"/>
          <w:sz w:val="24"/>
          <w:szCs w:val="24"/>
        </w:rPr>
        <w:t xml:space="preserve"> Parimenti negativa è la ricerca nei documenti desecretati statunitensi: non esiste, per il Portogallo, alcun analogo del rapporto CIA del 22 maggio 1970 sul gabinetto franchista.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La sola triangolazione dotata di sostegno documentale è la mediazione della Santa Sé</w:t>
      </w:r>
      <w:r>
        <w:rPr>
          <w:rFonts w:ascii="Barlow Semi Condensed" w:cs="Barlow Semi Condensed" w:eastAsia="Barlow Semi Condensed" w:hAnsi="Barlow Semi Condensed"/>
          <w:sz w:val="24"/>
          <w:szCs w:val="24"/>
        </w:rPr>
        <w:t xml:space="preserve">, interlocutrice comune di Portogallo e Italia; tutte le altre convergenze sono di ambiente cattolico o di mera contemporaneità cronologica e non stabiliscono alcun nesso operativo.</w:t>
      </w:r>
    </w:p>
    <w:p>
      <w:pPr>
        <w:pStyle w:val="Heading2"/>
        <w:spacing w:after="100" w:before="200"/>
      </w:pPr>
      <w:r>
        <w:rPr>
          <w:rFonts w:ascii="Barlow Semi Condensed" w:cs="Barlow Semi Condensed" w:eastAsia="Barlow Semi Condensed" w:hAnsi="Barlow Semi Condensed"/>
          <w:sz w:val="24"/>
          <w:szCs w:val="24"/>
        </w:rPr>
        <w:t xml:space="preserve">Key Findings</w:t>
      </w:r>
    </w:p>
    <w:p>
      <w:pPr>
        <w:spacing w:after="120" w:line="276"/>
        <w:jc w:val="both"/>
      </w:pPr>
      <w:r>
        <w:rPr>
          <w:rFonts w:ascii="Barlow Semi Condensed" w:cs="Barlow Semi Condensed" w:eastAsia="Barlow Semi Condensed" w:hAnsi="Barlow Semi Condensed"/>
          <w:sz w:val="24"/>
          <w:szCs w:val="24"/>
        </w:rPr>
        <w:t xml:space="preserve">La ricerca conferma che il "versante nuovo e prioritario" — l'Opus Dei in Portogallo come soggetto storico — è documentabile ma restituisce un quadro rovesciato rispetto all'ipotesi implicita nel confronto iberico: dove in Spagna l'istituzione fornì ministri, in Portogallo essa fu oggetto di sospetto poliziesco e di reticenza da parte del cardinale patriarca di Lisbona. La spiegazione del divario non risiede in una diversa "strategia" dell'ente, bensì in differenze strutturali di società, Chiesa ed élites, colte dalla storiografia religiosa portoghese peer-reviewed. Sul versante Moro, la ricerca produce due esiti negativi di pieno valore documentale (nessun legame con l'Opus Dei; nessuna traccia specifica su Moro e il Portogallo nel reperibile), che vanno enunciati con chiarezza anziché diluiti. Le triangolazioni reali si riducono a un solo nodo: la funzione di interlocuzione della Santa Sé.</w:t>
      </w:r>
    </w:p>
    <w:p>
      <w:pPr>
        <w:pStyle w:val="Heading2"/>
        <w:spacing w:after="100" w:before="200"/>
      </w:pPr>
      <w:r>
        <w:rPr>
          <w:rFonts w:ascii="Barlow Semi Condensed" w:cs="Barlow Semi Condensed" w:eastAsia="Barlow Semi Condensed" w:hAnsi="Barlow Semi Condensed"/>
          <w:sz w:val="24"/>
          <w:szCs w:val="24"/>
        </w:rPr>
        <w:t xml:space="preserve">Details</w:t>
      </w:r>
    </w:p>
    <w:p>
      <w:pPr>
        <w:pStyle w:val="Heading3"/>
        <w:spacing w:after="80" w:before="160"/>
      </w:pPr>
      <w:r>
        <w:rPr>
          <w:rFonts w:ascii="Barlow Semi Condensed" w:cs="Barlow Semi Condensed" w:eastAsia="Barlow Semi Condensed" w:hAnsi="Barlow Semi Condensed"/>
          <w:sz w:val="24"/>
          <w:szCs w:val="24"/>
        </w:rPr>
        <w:t xml:space="preserve">CAPITOLO I — Premessa metodologica, natura delle fonti e mappa del reperito</w:t>
      </w:r>
    </w:p>
    <w:p>
      <w:pPr>
        <w:spacing w:after="120" w:line="276"/>
        <w:jc w:val="both"/>
      </w:pPr>
      <w:r>
        <w:rPr>
          <w:rFonts w:ascii="Barlow Semi Condensed" w:cs="Barlow Semi Condensed" w:eastAsia="Barlow Semi Condensed" w:hAnsi="Barlow Semi Condensed"/>
          <w:sz w:val="24"/>
          <w:szCs w:val="24"/>
        </w:rPr>
        <w:t xml:space="preserve">Questa ricognizione tratta tre oggetti distinti — l'attività di Aldo Moro come ministro degli Esteri in rapporto al Portogallo, l'Opus Dei in Portogallo dal suo insediamento al 1985, e le loro triangolazioni per via diretta o attraverso la mediazione vaticana e il confronto spagnolo — applicando un principio dirimente che prevale su ogni esigenza narrativa: l'appartenenza di una persona a un'organizzazione non è prova di una condotta dell'organizzazione. Le fonti reperite si collocano su piani eterogenei, che il metodo impone di tenere distinti. Per l'insediamento dell'Opus Dei in Portogallo la fonte ufficiale dell'ente (opusdei.org, versione pt-pt) fornisce la cronologia interna, da impiegare per i dati di fatto sui propri membri ma non per le valutazioni sulle responsabilità. Una recensione accademica peer-reviewed pubblicata sulla rivista Lusitania Sacra del Centro de Estudos de História Religiosa della Universidade Católica Portuguesa (doi 10.34632/lusitaniasacra.2022.11811, a firma di Miguel de Salis Amaral, della Pontifícia Università della Santa Croce) offre il vaglio critico della monografia di Onésimo Díaz, </w:t>
      </w:r>
      <w:r>
        <w:rPr>
          <w:rFonts w:ascii="Barlow Semi Condensed" w:cs="Barlow Semi Condensed" w:eastAsia="Barlow Semi Condensed" w:hAnsi="Barlow Semi Condensed"/>
          <w:i/>
          <w:iCs/>
          <w:sz w:val="24"/>
          <w:szCs w:val="24"/>
        </w:rPr>
        <w:t xml:space="preserve">Expansión: El desarrollo del Opus Dei entre los años 1940 y 1945</w:t>
      </w:r>
      <w:r>
        <w:rPr>
          <w:rFonts w:ascii="Barlow Semi Condensed" w:cs="Barlow Semi Condensed" w:eastAsia="Barlow Semi Condensed" w:hAnsi="Barlow Semi Condensed"/>
          <w:sz w:val="24"/>
          <w:szCs w:val="24"/>
        </w:rPr>
        <w:t xml:space="preserve"> (Madrid, Rialp, 2020), opera del filone dell'Istituto Storico San Josemaría Escrivá. Sul versante della sorveglianza statale la fonte principale è il libro giornalistico d'inchiesta di António José Vilela e Pedro Ramos Brandão, </w:t>
      </w:r>
      <w:r>
        <w:rPr>
          <w:rFonts w:ascii="Barlow Semi Condensed" w:cs="Barlow Semi Condensed" w:eastAsia="Barlow Semi Condensed" w:hAnsi="Barlow Semi Condensed"/>
          <w:i/>
          <w:iCs/>
          <w:sz w:val="24"/>
          <w:szCs w:val="24"/>
        </w:rPr>
        <w:t xml:space="preserve">Salazar e a Conspiração do Opus Dei</w:t>
      </w:r>
      <w:r>
        <w:rPr>
          <w:rFonts w:ascii="Barlow Semi Condensed" w:cs="Barlow Semi Condensed" w:eastAsia="Barlow Semi Condensed" w:hAnsi="Barlow Semi Condensed"/>
          <w:sz w:val="24"/>
          <w:szCs w:val="24"/>
        </w:rPr>
        <w:t xml:space="preserve"> (Casa das Letras, 2011), fondato su fascicoli PIDE/DGS conservati alla Torre do Tombo: WOOK (https://www.wook.pt/livro/salazar-e-a-conspiracao-do-opus-dei-antonio-jose-vilela/10952303) va trattato come pubblicistica d'inchiesta che cita fonti primarie, non come studio peer-reviewed, e le sue tesi vanno qualificate in quanto tali. Per Moro le fonti sono la biografia istituzionale e gli atti (il sito aldomoro.eu, l'edizione digitale dell'Università di Bologna aldomorodigitale.unibo.it), oltre alla storiografia sulla politica estera (Nuova Rivista Storica; Euro-Balkan Law and Economics Review). Il versante desecretato è stato verificato direttamente nel CIA FOIA Reading Room e nei Foreign Relations of the United States. Ogni capitolo dichiara la natura della fonte, distingue ciò che il documento attesta da ciò che se ne inferisce, e — ove il materiale non basti — si dichiara più breve, poiché è preferibile un capitolo corto che enunci uno Stato Zero rispetto a un capitolo lungo che diluisca pochi fatti. Sono espressamente escluse dalle fonti l'enciclopedia collaborativa Grokipedia e il quotidiano il Manifesto.</w:t>
      </w:r>
    </w:p>
    <w:p>
      <w:pPr>
        <w:pStyle w:val="Heading3"/>
        <w:spacing w:after="80" w:before="160"/>
      </w:pPr>
      <w:r>
        <w:rPr>
          <w:rFonts w:ascii="Barlow Semi Condensed" w:cs="Barlow Semi Condensed" w:eastAsia="Barlow Semi Condensed" w:hAnsi="Barlow Semi Condensed"/>
          <w:sz w:val="24"/>
          <w:szCs w:val="24"/>
        </w:rPr>
        <w:t xml:space="preserve">CAPITOLO II — L'insediamento dell'Opus Dei in Portogallo (1945–anni Cinquanta)</w:t>
      </w:r>
    </w:p>
    <w:p>
      <w:pPr>
        <w:spacing w:after="120" w:line="276"/>
        <w:jc w:val="both"/>
      </w:pPr>
      <w:r>
        <w:rPr>
          <w:rFonts w:ascii="Barlow Semi Condensed" w:cs="Barlow Semi Condensed" w:eastAsia="Barlow Semi Condensed" w:hAnsi="Barlow Semi Condensed"/>
          <w:sz w:val="24"/>
          <w:szCs w:val="24"/>
        </w:rPr>
        <w:t xml:space="preserve">La fonte ufficiale dell'istituzione data l'inizio della presenza in Portogallo al 5 febbraio 1945, con la prima visita del fondatore Josemaría Escrivá de Balaguer, giunto — secondo la ricostruzione dell'ente e la biografia di Hugo de Azevedo, </w:t>
      </w:r>
      <w:r>
        <w:rPr>
          <w:rFonts w:ascii="Barlow Semi Condensed" w:cs="Barlow Semi Condensed" w:eastAsia="Barlow Semi Condensed" w:hAnsi="Barlow Semi Condensed"/>
          <w:i/>
          <w:iCs/>
          <w:sz w:val="24"/>
          <w:szCs w:val="24"/>
        </w:rPr>
        <w:t xml:space="preserve">O fundador do Opus Dei em Portugal</w:t>
      </w:r>
      <w:r>
        <w:rPr>
          <w:rFonts w:ascii="Barlow Semi Condensed" w:cs="Barlow Semi Condensed" w:eastAsia="Barlow Semi Condensed" w:hAnsi="Barlow Semi Condensed"/>
          <w:sz w:val="24"/>
          <w:szCs w:val="24"/>
        </w:rPr>
        <w:t xml:space="preserve"> (Lisbona, Lucerna, 2021) — a istanza di suor Lúcia, veggente di Fátima, conosciuta a Tui. DN (https://www.dn.pt/sociedade/opus-dei-em-portugal-com-um-empurrao-da-irma-lucia--14256887.html) Escrivá, accompagnato dal vescovo di Tui, incontrò il cardinale patriarca di Lisbona e i vescovi di Braga, Porto, Coimbra e Leiria, decidendo l'avvio immediato dell'apostolato. Un anno dopo giunsero a Coimbra alcuni membri in studi post-laurea, che aprirono una residenza universitaria; seguirono le residenze di Porto (1948) e Lisbona (1951). Opus Dei (https://opusdei.org/pt-pt/article/historia-opus-dei-portugal/) La recensione di Lusitania Sacra apporta due precisazioni erudite: il primo portoghese entrato nell'Opus Dei fu Armando Serrano nell'anno accademico 1942-43, e una prima visita esplorativa di José Luis Múzquiz avvenne nel marzo 1941 ucp (https://journals.ucp.pt/index.php/lusitaniasacra/article/download/11811/11315) — segno che l'idea di iniziare il lavoro in Portogallo precedeva l'incontro con suor Lúcia, che la recensione considera concausa e non causa esclusiva. L'inchiesta Vilela–Brandão colloca l'ingresso stabile nel 1946, con l'arrivo di un gruppo di cinque universitari spagnoli e un cubano. Sul 21 (https://sul21.com.br/opiniao/2011/07/infiltrados-no-estado-novo/) La recensione di Salis Amaral segnala inoltre l'esistenza di uno studio dedicato alla corrispondenza fra Marcello Caetano e Laureano López Rodó, a firma di Paulo Miguel Martins, quale fonte di rilievo per il rapporto luso-spagnolo dell'ente. ucp (https://journals.ucp.pt/index.php/lusitaniasacra/article/download/11811/11315) Quanto alla consistenza numerica, documentata dalla stessa istituzione, la pagina storica ufficiale parla di circa 1.400 fedeli; l'agenzia Lusa (ripresa da RTP) riferì di circa 1.625 membri "no início deste ano" 2020; RTP (https://www.rtp.pt/noticias/pais/opus-dei-com-75-anos-em-portugal-e-uma-influencia-maior-do-que-os-1625-membros_n1358555) e per i dati di dicembre 2021 il vicario regionale José Rafael Espírito Santo, in occasione dei 75 anni e in un'intervista alla CNN Portugal (5 febbraio 2022), dichiarò: «há 1.615 membros no total, 1.012 mulheres e 603 homens», dei quali «505» celibatari e «1.110 são casadas ou solteiras sem o compromisso do celibato». CNN Portugal (https://cnnportugal.iol.pt/religiao/igreja-catolica/o-papa-francisco-usou-cilicio-entrevista-rara-do-lider-do-opus-dei-que-assume-acolhimento-de-homossexuais/20220205/61fd3b150cf2cc58e7e10649) Sono documentati centri della prelatura a Braga, Porto, Miramar, Viseu, Coimbra, Lisbona, Montemor-o-Novo e Ponta Delgada. Opus Dei (https://opusdei.org/pt-pt/article/historia-opus-dei-portugal/) Fra le opere educative e istituzionali collegate a membri dell'ente in Portogallo, il volume collettivo diretto da José Freire Antunes menziona il Colégio Universitário Montes Claros, il Colégio Horizonte (Porto), il Colégio Mira Rio, la Residência Universitária dos Álamos, l'AESE (scuola di direzione d'impresa) e l'ISU (Instituto de Solidariedade e Cooperação), sull'asse di quel modello di residenze universitarie e opere professionali che caratterizza l'apostolato dell'istituzione.</w:t>
      </w:r>
    </w:p>
    <w:p>
      <w:pPr>
        <w:pStyle w:val="Heading3"/>
        <w:spacing w:after="80" w:before="160"/>
      </w:pPr>
      <w:r>
        <w:rPr>
          <w:rFonts w:ascii="Barlow Semi Condensed" w:cs="Barlow Semi Condensed" w:eastAsia="Barlow Semi Condensed" w:hAnsi="Barlow Semi Condensed"/>
          <w:sz w:val="24"/>
          <w:szCs w:val="24"/>
        </w:rPr>
        <w:t xml:space="preserve">CAPITOLO III — L'Opus Dei e l'Estado Novo: la sorveglianza della polizia politica</w:t>
      </w:r>
    </w:p>
    <w:p>
      <w:pPr>
        <w:spacing w:after="120" w:line="276"/>
        <w:jc w:val="both"/>
      </w:pPr>
      <w:r>
        <w:rPr>
          <w:rFonts w:ascii="Barlow Semi Condensed" w:cs="Barlow Semi Condensed" w:eastAsia="Barlow Semi Condensed" w:hAnsi="Barlow Semi Condensed"/>
          <w:sz w:val="24"/>
          <w:szCs w:val="24"/>
        </w:rPr>
        <w:t xml:space="preserve">Il rapporto tra istituzione e regime salazarista si presenta in senso diametralmente opposto a quello spagnolo: non collaborazione ma diffidenza e sorveglianza. Secondo l'inchiesta Vilela–Brandão, fondata sui fondi PIDE/DGS della Torre do Tombo, la polizia politica riteneva esistesse una "cospirazione" dell'Opus Dei per dominare il regime, sul modello di quanto essa credeva avvenuto nella Spagna franchista, dove — a suo giudizio — Escrivá avrebbe voluto conquistare le élites di sostegno a Salazar. Fnac (https://www.fnac.pt/Salazar-e-a-Conspiracao-do-Opus-Dei-Pedro-Ramos-Brandao/a361319) Livraria Almedina (https://www.almedina.net/salazar-e-a-conspira-o-do-opus-dei-1563875565.html) Un rapporto PIDE del settembre 1963 conteneva la frase, citata dagli autori, secondo cui «os representantes espanhóis sempre procuraram encontrar para dirigente em Portugal um homem com nome político e prestígio suficientes que o levasse um dia a fazer parte do Governo». Sul 21 (https://sul21.com.br/opiniao/2011/07/infiltrados-no-estado-novo/) Una nota non firmata del 1961 indirizzata a Salazar e conservata alla Torre do Tombo, intitolata «As Actividades do Opus Dei em Portugal», è alla base dell'inchiesta ripresa dalla rivista SÁBADO (di cui Vilela è direttore aggiunto) nell'articolo «A vigilância secreta de Salazar ao Opus Dei»: «A PIDE desviou cartas, anotou nomes como os de Marcello Caetano e Adriano Moreira e detetou a entrada de 18 milhões de pesetas». SÁBADO (https://www.sabado.pt/vida/detalhe/a-vigilancia-secreta-de-salazar-ao-opus-dei) La stessa inchiesta indica inoltre l'ex-ministro Daniel Barbosa fra i nomi annotati e individua lo spagnolo D. Gregório Ortega Pardo come «o homem eficaz que fazia a ligação destes ex-governantes com a instituição», secondo un relatório PIDE del gennaio 1964 dedicato alle «tentativas de penetração do Opus Dei na política interna portuguesa». Pro Roma Mariana (https://promariana.wordpress.com/2015/12/10/o-opus-dei-na-historia-de-fatima/) Occorre la massima cautela interpretativa: si tratta di ciò che la PIDE sospettava e annotava, non di condotte provate dell'istituzione o degli individui. Gli stessi resoconti sottolineano che la polizia non riuscì mai a provare i legami, e che Marcello Caetano e Adriano Moreira — quest'ultimo indicato in alcuni rapporti come possibile successore del capo del governo — «terão resistido ao assédio». Nomi come Leite Pinto, Vieira Barbosa e Cavaleiro Ferreira comparivano come presunti membri, ma senza prova documentale. Palrador D'el Rei (https://denunciation.wordpress.com/2011/06/22/%C2%ABsalazar-e-a-conspiracao-do-opus-dei%C2%BB-de-antonio-jose-vilela-e-pedro-ramos-brandao/) Questo intero corpus va perciò qualificato come sospetto poliziesco, non come accertamento storico: costituisce prova di ciò che il regime temeva, non di ciò che l'Opus Dei fece. La tesi cospirativa che coinvolgerebbe suor Lúcia, il controllo del Banco da Agricultura e un'alleanza tacita e frustrata col cardinale Cerejeira Bertrand (https://www.bertrand.pt/livro/salazar-e-a-conspiracao-do-opus-dei-antonio-jose-vilela/10952303) Livraria Almedina (https://www.almedina.net/salazar-e-a-conspira-o-do-opus-dei-1563875565.html) è precisamente il tipo di tesi circolante nella pubblicistica che, non trovando riscontro in fonti primarie autonome, va qualificata come non sostenuta.</w:t>
      </w:r>
    </w:p>
    <w:p>
      <w:pPr>
        <w:pStyle w:val="Heading3"/>
        <w:spacing w:after="80" w:before="160"/>
      </w:pPr>
      <w:r>
        <w:rPr>
          <w:rFonts w:ascii="Barlow Semi Condensed" w:cs="Barlow Semi Condensed" w:eastAsia="Barlow Semi Condensed" w:hAnsi="Barlow Semi Condensed"/>
          <w:sz w:val="24"/>
          <w:szCs w:val="24"/>
        </w:rPr>
        <w:t xml:space="preserve">CAPITOLO IV — Il confronto iberico: perché in Spagna sì e in Portogallo no</w:t>
      </w:r>
    </w:p>
    <w:p>
      <w:pPr>
        <w:spacing w:after="120" w:line="276"/>
        <w:jc w:val="both"/>
      </w:pPr>
      <w:r>
        <w:rPr>
          <w:rFonts w:ascii="Barlow Semi Condensed" w:cs="Barlow Semi Condensed" w:eastAsia="Barlow Semi Condensed" w:hAnsi="Barlow Semi Condensed"/>
          <w:sz w:val="24"/>
          <w:szCs w:val="24"/>
        </w:rPr>
        <w:t xml:space="preserve">La domanda storiografica centrale — perché in Spagna l'Opus Dei fornì ministri tecnocrati al franchismo mentre in Portogallo, per quanto risulta, non ebbe ruolo governativo comparabile — trova risposta nelle differenze strutturali fra i due Paesi, messe a fuoco proprio dalla recensione peer-reviewed di Lusitania Sacra. In Spagna alcuni membri dell'Opus Dei giunsero al governo a partire dal 1957 (Alberto Ullastres al Commercio, Mariano Navarro Rubio alle Finanze) Recursosacademicos (https://www.recursosacademicos.net/tecnocratas-del-opus-dei/) e con maggiore visibilità nel gabinetto del 1969; secondo la fonte ufficiale dell'ente, otto ministri su centosedici complessivi appartennero all'istituzione nell'intero arco franchista, e figure come Gregorio López Bravo (Esteri, ottobre 1969 – giugno 1973) U.S. Department of State (https://history.state.gov/historicaldocuments/frus1969-76v41/d303) e Laureano López Rodó (poi agli Esteri dal giugno 1973) furono associate al cosiddetto "sviluppismo". La storiografia spagnola citata (Paul Preston, </w:t>
      </w:r>
      <w:r>
        <w:rPr>
          <w:rFonts w:ascii="Barlow Semi Condensed" w:cs="Barlow Semi Condensed" w:eastAsia="Barlow Semi Condensed" w:hAnsi="Barlow Semi Condensed"/>
          <w:i/>
          <w:iCs/>
          <w:sz w:val="24"/>
          <w:szCs w:val="24"/>
        </w:rPr>
        <w:t xml:space="preserve">Franco</w:t>
      </w:r>
      <w:r>
        <w:rPr>
          <w:rFonts w:ascii="Barlow Semi Condensed" w:cs="Barlow Semi Condensed" w:eastAsia="Barlow Semi Condensed" w:hAnsi="Barlow Semi Condensed"/>
          <w:sz w:val="24"/>
          <w:szCs w:val="24"/>
        </w:rPr>
        <w:t xml:space="preserve">, Grijalbo-Mondadori, 1994) avverte che l'arrivo dei tecnocrati «no fue ni siniestra ni astuta, sino más bien una respuesta pragmática y sin esquema fijo», Contrainformacion (https://contrainformacion.es/opus-dei-y-los-ministros-miembros/) e la stessa istituzione insiste che «ni todos los tecnócratas fueron del Opus Dei, ni todos los miembros del Opus Dei... fueron tecnócratas». Religión en Libertad (https://www.religionenlibertad.com/cultura/150215/ni-todos-los-tecnocratas-fueron-del-opus-dei-ni-todos-los_32125.html) In Portogallo nulla di comparabile risulta. La recensione di Salis Amaral individua con precisione le ragioni della divergenza: il diverso grado di secolarizzazione e di preparazione religiosa della gioventù universitaria portoghese rispetto a quella spagnola; il diverso rapporto Chiesa-Stato ucp (https://journals.ucp.pt/index.php/lusitaniasacra/article/download/11811/11315) (Cerejeira amico personale di Salazar dai tempi di Coimbra, ma Chiesa portoghese meno organicamente fusa con il regime rispetto al nazionalcattolicesimo spagnolo); una situazione socio-economica non paragonabile a quella di una Spagna appena uscita dalla guerra civile; e una politica portoghese durante la Seconda guerra mondiale differente da quella spagnola. ucp (https://journals.ucp.pt/index.php/lusitaniasacra/article/download/11811/11315) A questi fattori se ne aggiunge uno ecclesiale decisivo, documentato dall'Agência Ecclesia sulla scorta della storiografia del Vaticano II: il cardinale Cerejeira fu costantemente reticente verso i movimenti di origine straniera — «com o argumento de que a Ação Católica Portuguesa supria as necessidades» — sicché Opus Dei, Legião de Maria, Casais de Nossa Senhora, Graal e il Movimento dos Industriais si impiantarono a partire da diocesi diverse da quella di Lisbona. ECCLESIA (https://agencia.ecclesia.pt/portal/vaticano-ii-portugal-o-mundo-e-a-convocacao-do-concilio/) La spiegazione storica non è dunque una diversa "strategia" dell'ente, ma la combinazione di una domanda sociale e di un'accoglienza ecclesiastica strutturalmente differenti. Anche sul piano concordatario il quadro diverge: la dissertazione di dottorato di Bruno Cardoso Reis (RUN/Universidade Nova de Lisboa) sulla Concordata del 1940 rileva che «Salazar impôs os seus pontos de vista, fazendo um acordo cujas benesses para a Igreja ficaram muito aquém das vantagens oferecidas noutras concordatas, como a italiana ou a espanhola» RUN (https://run.unl.pt/entities/publication/4bd29800-b1ac-4187-bcc6-897130f67b44) — indice di una Chiesa portoghese meno "premiata" dallo Stato di quanto lo fosse quella spagnola.</w:t>
      </w:r>
    </w:p>
    <w:p>
      <w:pPr>
        <w:pStyle w:val="Heading3"/>
        <w:spacing w:after="80" w:before="160"/>
      </w:pPr>
      <w:r>
        <w:rPr>
          <w:rFonts w:ascii="Barlow Semi Condensed" w:cs="Barlow Semi Condensed" w:eastAsia="Barlow Semi Condensed" w:hAnsi="Barlow Semi Condensed"/>
          <w:sz w:val="24"/>
          <w:szCs w:val="24"/>
        </w:rPr>
        <w:t xml:space="preserve">CAPITOLO V — L'Opus Dei, le guerre coloniali e la questione africana</w:t>
      </w:r>
    </w:p>
    <w:p>
      <w:pPr>
        <w:spacing w:after="120" w:line="276"/>
        <w:jc w:val="both"/>
      </w:pPr>
      <w:r>
        <w:rPr>
          <w:rFonts w:ascii="Barlow Semi Condensed" w:cs="Barlow Semi Condensed" w:eastAsia="Barlow Semi Condensed" w:hAnsi="Barlow Semi Condensed"/>
          <w:sz w:val="24"/>
          <w:szCs w:val="24"/>
        </w:rPr>
        <w:t xml:space="preserve">Su questo punto specifico il reperito è scarso e occorre dichiararlo espressamente. Il quadro generale del rapporto tra Chiesa e guerra coloniale è ben documentato dalla storiografia religiosa portoghese: la Concordata e l'Accordo missionario del 7 maggio 1940 conferivano alla Chiesa una «utilidade imperial» e un senso «civilizador» associati al nazionalismo portoghese, Revistas Científicas da UCP (https://revistas.ucp.pt/index.php/lusitaniasacra/article/view/16035) secondo João Marques de Almeida in Lusitania Sacra (n. 51, 2026); e nel colonialismo tardo (1961-1974) si aprì il conflitto fra paradigmi missionari nazionalisti e paradigmi della "libertação", culminato — come già acquisito nelle ricognizioni anteriori — nell'espulsione del vescovo di Nampula Manuel Vieira Pinto e dei comboniani dopo il documento </w:t>
      </w:r>
      <w:r>
        <w:rPr>
          <w:rFonts w:ascii="Barlow Semi Condensed" w:cs="Barlow Semi Condensed" w:eastAsia="Barlow Semi Condensed" w:hAnsi="Barlow Semi Condensed"/>
          <w:i/>
          <w:iCs/>
          <w:sz w:val="24"/>
          <w:szCs w:val="24"/>
        </w:rPr>
        <w:t xml:space="preserve">Imperativo de Consciência</w:t>
      </w:r>
      <w:r>
        <w:rPr>
          <w:rFonts w:ascii="Barlow Semi Condensed" w:cs="Barlow Semi Condensed" w:eastAsia="Barlow Semi Condensed" w:hAnsi="Barlow Semi Condensed"/>
          <w:sz w:val="24"/>
          <w:szCs w:val="24"/>
        </w:rPr>
        <w:t xml:space="preserve">. Guerracolonial (https://guerracolonial.pt/1970-a-ilusao-das-grandes-operacoes/a-igreja-catolica-e-a-guerra-colonial/) Non è stato tuttavia reperito alcun documento che attribuisca all'Opus Dei come istituzione una posizione specifica e distinta sulle guerre coloniali o sulla questione africana, né a favore né contro. Il volume collettivo di Freire Antunes contiene testimonianze individuali che intersecano l'Africa portoghese (una sezione su «Os mutilados da Guerra de África»; il caso di Jorge Jardim Gonçalves «e a reconquista de Nambuangongo»), ma si tratta di vicende personali di membri, che il metodo impone di non trasformare in condotta dell'ente. Questo è dunque uno Stato Zero parziale: la ricerca andrebbe condotta nell'Archivio Generale della Prelatura a Roma e nei fondi diocesani portoghesi. Il capitolo è volutamente breve, poiché il materiale non basta e diluirlo con generalità sarebbe metodologicamente scorretto.</w:t>
      </w:r>
    </w:p>
    <w:p>
      <w:pPr>
        <w:pStyle w:val="Heading3"/>
        <w:spacing w:after="80" w:before="160"/>
      </w:pPr>
      <w:r>
        <w:rPr>
          <w:rFonts w:ascii="Barlow Semi Condensed" w:cs="Barlow Semi Condensed" w:eastAsia="Barlow Semi Condensed" w:hAnsi="Barlow Semi Condensed"/>
          <w:sz w:val="24"/>
          <w:szCs w:val="24"/>
        </w:rPr>
        <w:t xml:space="preserve">CAPITOLO VI — L'Opus Dei di fronte alla Rivoluzione dei garofani e alla transizione</w:t>
      </w:r>
    </w:p>
    <w:p>
      <w:pPr>
        <w:spacing w:after="120" w:line="276"/>
        <w:jc w:val="both"/>
      </w:pPr>
      <w:r>
        <w:rPr>
          <w:rFonts w:ascii="Barlow Semi Condensed" w:cs="Barlow Semi Condensed" w:eastAsia="Barlow Semi Condensed" w:hAnsi="Barlow Semi Condensed"/>
          <w:sz w:val="24"/>
          <w:szCs w:val="24"/>
        </w:rPr>
        <w:t xml:space="preserve">Il 25 aprile 1974 la Rivoluzione dei garofani rovesciò l'Estado Novo, aprendo il Processo Revolucionário Em Curso (PREC) del 1974-1975. La fonte ufficiale dell'ente e la letteratura testimoniale (il volume collettivo </w:t>
      </w:r>
      <w:r>
        <w:rPr>
          <w:rFonts w:ascii="Barlow Semi Condensed" w:cs="Barlow Semi Condensed" w:eastAsia="Barlow Semi Condensed" w:hAnsi="Barlow Semi Condensed"/>
          <w:i/>
          <w:iCs/>
          <w:sz w:val="24"/>
          <w:szCs w:val="24"/>
        </w:rPr>
        <w:t xml:space="preserve">Opus Dei em Portugal</w:t>
      </w:r>
      <w:r>
        <w:rPr>
          <w:rFonts w:ascii="Barlow Semi Condensed" w:cs="Barlow Semi Condensed" w:eastAsia="Barlow Semi Condensed" w:hAnsi="Barlow Semi Condensed"/>
          <w:sz w:val="24"/>
          <w:szCs w:val="24"/>
        </w:rPr>
        <w:t xml:space="preserve">, diretto da José Freire Antunes, che dedica una sezione specifica «O 25 de Abril de 1974» e una al progetto SOCEI-Fomento) non documentano persecuzioni sistematiche, occupazioni di sedi o espulsioni di membri dell'Opus Dei </w:t>
      </w:r>
      <w:r>
        <w:rPr>
          <w:rFonts w:ascii="Barlow Semi Condensed" w:cs="Barlow Semi Condensed" w:eastAsia="Barlow Semi Condensed" w:hAnsi="Barlow Semi Condensed"/>
          <w:i/>
          <w:iCs/>
          <w:sz w:val="24"/>
          <w:szCs w:val="24"/>
        </w:rPr>
        <w:t xml:space="preserve">in quanto tali</w:t>
      </w:r>
      <w:r>
        <w:rPr>
          <w:rFonts w:ascii="Barlow Semi Condensed" w:cs="Barlow Semi Condensed" w:eastAsia="Barlow Semi Condensed" w:hAnsi="Barlow Semi Condensed"/>
          <w:sz w:val="24"/>
          <w:szCs w:val="24"/>
        </w:rPr>
        <w:t xml:space="preserve"> durante il biennio rivoluzionario; non è stato reperito alcun documento indipendente che le attesti. La figura in cui la traiettoria dell'istituzione tocca la politica portoghese post-rivoluzionaria è Adelino Amaro da Costa, cofondatore del CDS: secondo il sito ufficiale del Parlamento portoghese egli «foi membro fundador do Partido do Centro Democrático Social (CDS) em 1974, tendo sido o seu primeiro Secretário-Geral até fevereiro de 1975» Parlamento (https://www.parlamento.pt/VisitaParlamento/Paginas/BiogAdelinoAmarodaCosta.aspx) (il CDS fu fondato il 19 luglio 1974). La sua appartenenza all'Opus Dei è documentata: l'Infopédia riferisce che «em 1979, casou-se com Maria Manuela Vaz Pires, tendo assim rompido os votos de castidade feitos quando aderiu, anos antes, à Opus Dei», Infopedia (https://www.infopedia.pt/artigos/%24adelino-amaro-da-costa) e la biografia di Célia Pedroso e Maria do Rosário Carneiro (</w:t>
      </w:r>
      <w:r>
        <w:rPr>
          <w:rFonts w:ascii="Barlow Semi Condensed" w:cs="Barlow Semi Condensed" w:eastAsia="Barlow Semi Condensed" w:hAnsi="Barlow Semi Condensed"/>
          <w:i/>
          <w:iCs/>
          <w:sz w:val="24"/>
          <w:szCs w:val="24"/>
        </w:rPr>
        <w:t xml:space="preserve">Adelino Amaro da Costa, Histórias de Uma Vida Interrompida</w:t>
      </w:r>
      <w:r>
        <w:rPr>
          <w:rFonts w:ascii="Barlow Semi Condensed" w:cs="Barlow Semi Condensed" w:eastAsia="Barlow Semi Condensed" w:hAnsi="Barlow Semi Condensed"/>
          <w:sz w:val="24"/>
          <w:szCs w:val="24"/>
        </w:rPr>
        <w:t xml:space="preserve">, Casa das Letras, 2010) raccoglie testimonianze che pongono «a importância central do Opus Dei na vida de Adelino Amaro da Costa, até ao casamento em 1979», datando l'ingresso in residenza a dopo la laurea in Ingegneria civile del 1966. ucp (https://revistas.ucp.pt/index.php/povoseculturas/article/download/8975/8843) Vale in modo assoluto la prescrizione metodologica: l'appartenenza di Amaro da Costa all'Opus Dei non costituisce prova di una condotta politica dell'Opus Dei come istituzione; egli agì come uomo politico del CDS, e le testimonianze raccolte (Rui Pena, Ernâni Lopes) descrivono un impegno personale, non una direttiva dell'ente. Amaro da Costa contribuì alla stesura del programma del I Governo provisório su richiesta del ministro Veiga Simão, ucp (https://revistas.ucp.pt/index.php/povoseculturas/article/download/8975/8843) e fu poi ministro della Difesa nel governo dell'Aliança Democrática (1980), Infopedia (https://www.infopedia.pt/artigos/%24adelino-amaro-da-costa) morendo nel disastro aereo di Camarate il 4 dicembre 1980 insieme al primo ministro Francisco Sá Carneiro. Livraria Almedina +2 (https://www.almedina.net/adelino-amaro-da-costa-hist-rias-de-uma-vida-interrompida-1563875470.html) Il capitolo resta contenuto per insufficienza di documentazione sulle vicende collettive dell'ente nel periodo rivoluzionario.</w:t>
      </w:r>
    </w:p>
    <w:p>
      <w:pPr>
        <w:pStyle w:val="Heading3"/>
        <w:spacing w:after="80" w:before="160"/>
      </w:pPr>
      <w:r>
        <w:rPr>
          <w:rFonts w:ascii="Barlow Semi Condensed" w:cs="Barlow Semi Condensed" w:eastAsia="Barlow Semi Condensed" w:hAnsi="Barlow Semi Condensed"/>
          <w:sz w:val="24"/>
          <w:szCs w:val="24"/>
        </w:rPr>
        <w:t xml:space="preserve">CAPITOLO VII — Moro ministro degli Esteri e il Portogallo</w:t>
      </w:r>
    </w:p>
    <w:p>
      <w:pPr>
        <w:spacing w:after="120" w:line="276"/>
        <w:jc w:val="both"/>
      </w:pPr>
      <w:r>
        <w:rPr>
          <w:rFonts w:ascii="Barlow Semi Condensed" w:cs="Barlow Semi Condensed" w:eastAsia="Barlow Semi Condensed" w:hAnsi="Barlow Semi Condensed"/>
          <w:sz w:val="24"/>
          <w:szCs w:val="24"/>
        </w:rPr>
        <w:t xml:space="preserve">Aldo Moro fu ministro degli Affari Esteri dal 5 agosto 1969 al 26 giugno 1972 (governi terzo Rumor, primo Colombo, primo Andreotti) e di nuovo dal 7 luglio 1973 al 23 novembre 1974 (quarto e quinto Rumor), Wikipedia (https://en.wikipedia.org/wiki/Aldo_Moro) come confermano concordemente la biografia istituzionale (aldomoro.eu) e le voci enciclopediche. La storiografia definisce la sua come l'"iniziatore della fase mediterranea" delle relazioni internazionali italiane: la Nuova Rivista Storica lo descrive come colui che «legando al quadro europeo la politica araba dell'Italia» tentò, dal 1973, di conciliare filo-arabismo energetico e costruzione europea; Nuovarivistastorica (https://nuovarivistastorica.it/?p=7636) parallelamente egli fu protagonista della CSCE e della Conferenza di Helsinki. Non è stato reperito alcun documento diplomatico specifico che colleghi direttamente Moro alla situazione portoghese pre-rivoluzionaria, né iniziative morotee riguardanti il Portogallo di Caetano. La transizione portoghese cadde in gran parte quando Moro era ancora agli Esteri (25 aprile 1974) e poi presidente del Consiglio (dal 23 novembre 1974); la reazione italiana alla rivoluzione fu tuttavia soprattutto di parte, con forte coinvolgimento del PSI e del PCI (la letteratura specialistica documenta il dibattito della sinistra italiana sulla rivoluzione portoghese), mentre l'orientamento atlantico italiano si allineava alla preoccupazione NATO documentata nei FRUS, dove Kissinger paventava per Lisbona «not a Communist take-over, but a leftist neutralist regime remaining within NATO». state (https://history.state.gov/historicaldocuments/frus1969-76ve15p2/d153) Il rapporto Moro-Portogallo, allo stato, non è dunque documentato da fonti dirette reperibili e va ricostruito presso l'Archivio Storico Diplomatico del Ministero degli Affari Esteri italiano, serie Portogallo 1969-1974: sede presso cui la ricerca resta interamente da condurre.</w:t>
      </w:r>
    </w:p>
    <w:p>
      <w:pPr>
        <w:pStyle w:val="Heading3"/>
        <w:spacing w:after="80" w:before="160"/>
      </w:pPr>
      <w:r>
        <w:rPr>
          <w:rFonts w:ascii="Barlow Semi Condensed" w:cs="Barlow Semi Condensed" w:eastAsia="Barlow Semi Condensed" w:hAnsi="Barlow Semi Condensed"/>
          <w:sz w:val="24"/>
          <w:szCs w:val="24"/>
        </w:rPr>
        <w:t xml:space="preserve">CAPITOLO VIII — L'Opus Dei in Italia, la politica estera italiana e la questione Moro–Opus Dei (Stato Zero)</w:t>
      </w:r>
    </w:p>
    <w:p>
      <w:pPr>
        <w:spacing w:after="120" w:line="276"/>
        <w:jc w:val="both"/>
      </w:pPr>
      <w:r>
        <w:rPr>
          <w:rFonts w:ascii="Barlow Semi Condensed" w:cs="Barlow Semi Condensed" w:eastAsia="Barlow Semi Condensed" w:hAnsi="Barlow Semi Condensed"/>
          <w:sz w:val="24"/>
          <w:szCs w:val="24"/>
        </w:rPr>
        <w:t xml:space="preserve">L'Opus Dei è presente in Italia dal 1946, come attesta la fonte ufficiale, che documenta anche la mediazione del cardinale Giovanni Battista Montini (poi Paolo VI) nel riconoscimento pontificio del 1947 (decreto </w:t>
      </w:r>
      <w:r>
        <w:rPr>
          <w:rFonts w:ascii="Barlow Semi Condensed" w:cs="Barlow Semi Condensed" w:eastAsia="Barlow Semi Condensed" w:hAnsi="Barlow Semi Condensed"/>
          <w:i/>
          <w:iCs/>
          <w:sz w:val="24"/>
          <w:szCs w:val="24"/>
        </w:rPr>
        <w:t xml:space="preserve">Primum inter</w:t>
      </w:r>
      <w:r>
        <w:rPr>
          <w:rFonts w:ascii="Barlow Semi Condensed" w:cs="Barlow Semi Condensed" w:eastAsia="Barlow Semi Condensed" w:hAnsi="Barlow Semi Condensed"/>
          <w:sz w:val="24"/>
          <w:szCs w:val="24"/>
        </w:rPr>
        <w:t xml:space="preserve">) e — secondo la ricostruzione riportata da fonti divulgative da verificare — nella presentazione di Escrivá a Giulio Andreotti. Non è stato reperito alcun documento, atto, corrispondenza o testimonianza che colleghi Aldo Moro all'Opus Dei in qualunque veste. La biografia intellettuale di Moro lo colloca senza ambiguità nella tradizione della FUCI (di cui fu presidente 1939-1943), del Movimento Laureati Cattolici, della rivista </w:t>
      </w:r>
      <w:r>
        <w:rPr>
          <w:rFonts w:ascii="Barlow Semi Condensed" w:cs="Barlow Semi Condensed" w:eastAsia="Barlow Semi Condensed" w:hAnsi="Barlow Semi Condensed"/>
          <w:i/>
          <w:iCs/>
          <w:sz w:val="24"/>
          <w:szCs w:val="24"/>
        </w:rPr>
        <w:t xml:space="preserve">Studium</w:t>
      </w:r>
      <w:r>
        <w:rPr>
          <w:rFonts w:ascii="Barlow Semi Condensed" w:cs="Barlow Semi Condensed" w:eastAsia="Barlow Semi Condensed" w:hAnsi="Barlow Semi Condensed"/>
          <w:sz w:val="24"/>
          <w:szCs w:val="24"/>
        </w:rPr>
        <w:t xml:space="preserve"> e della componente dossettiana della sinistra DC: un cattolicesimo democratico distante per cultura, teologia politica e collocazione dall'ambiente dell'Opus Dei. La recensione critica della biografia di Paolo Acanfora (ARO-FBK) e la letteratura più recente (Iannuzzi–Losacco, </w:t>
      </w:r>
      <w:r>
        <w:rPr>
          <w:rFonts w:ascii="Barlow Semi Condensed" w:cs="Barlow Semi Condensed" w:eastAsia="Barlow Semi Condensed" w:hAnsi="Barlow Semi Condensed"/>
          <w:i/>
          <w:iCs/>
          <w:sz w:val="24"/>
          <w:szCs w:val="24"/>
        </w:rPr>
        <w:t xml:space="preserve">Aldo Moro. Le idee, il metodo, l'eredità</w:t>
      </w:r>
      <w:r>
        <w:rPr>
          <w:rFonts w:ascii="Barlow Semi Condensed" w:cs="Barlow Semi Condensed" w:eastAsia="Barlow Semi Condensed" w:hAnsi="Barlow Semi Condensed"/>
          <w:sz w:val="24"/>
          <w:szCs w:val="24"/>
        </w:rPr>
        <w:t xml:space="preserve">, Baldini Castoldi) descrivono «un uomo... non di appartenenza confessionale chiusa, ma un credente che considera la politica un servizio alla libertà». Quotidiano Nazionale (https://www.quotidiano.net/cronaca/aldo-moro-libro-iannuzzi-losacco-vk0b33xf) Si conferma pertanto lo Stato Zero già registrato da una ricognizione anteriore: nessun legame documentato fra Moro e l'Opus Dei. Questa conferma ha valore proprio e va enunciata con la massima chiarezza, poiché in materia tanto esposta alla pubblicistica congetturale la smentita documentale è un'acquisizione. La verifica ulteriore andrebbe condotta nell'Archivio Aldo Moro (inventariato tra Archivio storico del Senato e Archivio Centrale dello Stato) e nell'Archivio della Fondazione Aldo Moro.</w:t>
      </w:r>
    </w:p>
    <w:p>
      <w:pPr>
        <w:pStyle w:val="Heading3"/>
        <w:spacing w:after="80" w:before="160"/>
      </w:pPr>
      <w:r>
        <w:rPr>
          <w:rFonts w:ascii="Barlow Semi Condensed" w:cs="Barlow Semi Condensed" w:eastAsia="Barlow Semi Condensed" w:hAnsi="Barlow Semi Condensed"/>
          <w:sz w:val="24"/>
          <w:szCs w:val="24"/>
        </w:rPr>
        <w:t xml:space="preserve">CAPITOLO IX — I documenti desecretati (CIA e FRUS)</w:t>
      </w:r>
    </w:p>
    <w:p>
      <w:pPr>
        <w:spacing w:after="120" w:line="276"/>
        <w:jc w:val="both"/>
      </w:pPr>
      <w:r>
        <w:rPr>
          <w:rFonts w:ascii="Barlow Semi Condensed" w:cs="Barlow Semi Condensed" w:eastAsia="Barlow Semi Condensed" w:hAnsi="Barlow Semi Condensed"/>
          <w:sz w:val="24"/>
          <w:szCs w:val="24"/>
        </w:rPr>
        <w:t xml:space="preserve">La ricerca sistematica nel CIA FOIA Electronic Reading Room, nella collezione CREST e nei Foreign Relations of the United States ha prodotto un esito negativo di grande significato, verificato mediante ricognizione dedicata. Esiste, per la Spagna, il documento del 22 maggio 1970 (protocollo CIA-RDP85T00875R001500020027-1) sul gabinetto franchista e sull'assegnazione del maggior numero di dicasteri a membri o associati dell'Opus Dei. Non esiste alcun documento analogo per il Portogallo. Le carte CIA sull'Opus Dei reperite riguardano esclusivamente la Spagna (segnatamente «Opus Dei in Barcelona», CIA-RDP82-00457R015000010003-5, della serie di note informative degli anni Quaranta-Cinquanta); e va ricordato che il contenzioso FOIA promosso nel 2009-2011 dal ricercatore Harry Cason (CUNY) con Public Citizen per ottenere le carte CIA sull'Opus Dei verteva anch'esso sulla Spagna franchista. Fox News (https://www.foxnews.com/politics/consumer-group-helps-student-suing-cia-over-opus-dei-records.amp) I profili biografici CIA su Marcello Caetano (documenti C06790244 e C06790246, rilasciati il 12 luglio 2019) e su Salazar (documento 06782148, 1° settembre 1968) — pur dettagliati sul "conservatore ragionevole" Caetano, cia (https://cia.gov/readingroom/docs/MARCELO%20CAETANO%20%28PORTUGAL%5B15678188%5D.pdf) cia (https://www.cia.gov/readingroom/docs/MARCELO%20CAETANO%20%28PORTUGAL%5B15678189%5D.pdf) sui rimpasti del gennaio 1970 e sulla fede religiosa di Salazar — non menzionano in alcun punto l'Opus Dei. Nei FRUS 1969-1976, Volume E-15 Part 2 (ed. Kathleen B. Rasmussen, GPO 2014), la sezione Portogallo (documenti 123-178) state (https://history.state.gov/historicaldocuments/frus1969-76ve15p2Ed2) non contiene alcun riferimento all'Opus Dei né a "tecnocrati cattolici", concentrandosi su Rivoluzione dei garofani, minaccia comunista, adesione alla NATO e aiuti occidentali. L'unico riferimento all'Opus Dei nell'intero ciclo FRUS 1969-1976 individuato è nella sezione Spagna (Vol. 41, </w:t>
      </w:r>
      <w:r>
        <w:rPr>
          <w:rFonts w:ascii="Barlow Semi Condensed" w:cs="Barlow Semi Condensed" w:eastAsia="Barlow Semi Condensed" w:hAnsi="Barlow Semi Condensed"/>
          <w:i/>
          <w:iCs/>
          <w:sz w:val="24"/>
          <w:szCs w:val="24"/>
        </w:rPr>
        <w:t xml:space="preserve">Western Europe; NATO, 1969-1972</w:t>
      </w:r>
      <w:r>
        <w:rPr>
          <w:rFonts w:ascii="Barlow Semi Condensed" w:cs="Barlow Semi Condensed" w:eastAsia="Barlow Semi Condensed" w:hAnsi="Barlow Semi Condensed"/>
          <w:sz w:val="24"/>
          <w:szCs w:val="24"/>
        </w:rPr>
        <w:t xml:space="preserve">, documento 303), in una nota redazionale sullo scandalo MATESA che ricorda l'incriminazione di due ex ministri membri dell'Opus Dei. U.S. Department of State (https://history.state.gov/historicaldocuments/frus1969-76v41/d303) La conclusione, distinguendo il documento dall'inferenza, è netta: l'intelligence statunitense tracciò l'Opus Dei nel contesto spagnolo (franchista), non in quello portoghese; e l'unica traccia documentale del nesso Opus Dei–Portogallo resta nei fondi PIDE/DGS portoghesi, cioè in intelligence domestica portoghese, non statunitense. Resta il limite tecnico che l'interfaccia di ricerca interna del Reading Room non è stata interrogabile direttamente: non si può escludere l'esistenza di un cablogramma non indicizzato o pesantemente sanitizzato, ma nulla è emerso su oltre dieci interrogazioni mirate.</w:t>
      </w:r>
    </w:p>
    <w:p>
      <w:pPr>
        <w:pStyle w:val="Heading3"/>
        <w:spacing w:after="80" w:before="160"/>
      </w:pPr>
      <w:r>
        <w:rPr>
          <w:rFonts w:ascii="Barlow Semi Condensed" w:cs="Barlow Semi Condensed" w:eastAsia="Barlow Semi Condensed" w:hAnsi="Barlow Semi Condensed"/>
          <w:sz w:val="24"/>
          <w:szCs w:val="24"/>
        </w:rPr>
        <w:t xml:space="preserve">CAPITOLO X — Gli archivi: stato di accessibilità</w:t>
      </w:r>
    </w:p>
    <w:p>
      <w:pPr>
        <w:spacing w:after="120" w:line="276"/>
        <w:jc w:val="both"/>
      </w:pPr>
      <w:r>
        <w:rPr>
          <w:rFonts w:ascii="Barlow Semi Condensed" w:cs="Barlow Semi Condensed" w:eastAsia="Barlow Semi Condensed" w:hAnsi="Barlow Semi Condensed"/>
          <w:sz w:val="24"/>
          <w:szCs w:val="24"/>
        </w:rPr>
        <w:t xml:space="preserve">L'Arquivo Nacional da Torre do Tombo è ad accesso libero per chiunque abbia più di 16 anni Dglab (https://antt.dglab.gov.pt/servicos/leitura-e-referencia/) (18 per talune richieste online); la documentazione PIDE/DGS è soggetta a un regolamento proprio ma è consultabile su richiesta al servizio di riferimento. Dglab (https://antt.dglab.gov.pt/servicos/leitura-e-referencia/) Sull'ampiezza dell'inesplorato, Paulo Tremoceiro, capo divisione dell'archivio, ha dichiarato alla TSF (reportage di Nuno Guedes, 23 aprile 2019): «da minha experiência diária, aquilo que posso concluir é que metade da documentação existente nos nossos depósitos ainda está por consultar», pur essendo già numerata dai tecnici TSF Rádio Notícias (https://www.tsf.pt/sociedade/artigo/metade-do-arquivo-da-pide-nunca-foi-consultado-e-um-mundo-por-descobrir/10825928) — dato che segnala un potenziale di reperimento tuttora aperto. I fondi rilevanti per la ricerca sono il fondo PIDE-DGS, l'Arquivo Oliveira Salazar e l'Arquivo Marcello Caetano, tutti alla Torre do Tombo. L'Arquivo Histórico-Diplomático del Ministério dos Negócios Estrangeiros portoghese è accessibile e descritto attraverso l'Instituto Diplomático (idi.mne.gov.pt), con serie sulle relazioni diplomatiche dal 1640. Gli archivi dell'Opus Dei — l'Archivio Generale della Prelatura a Roma e la Biblioteca dell'Università di Navarra — sono ad accesso ristretto e mediato dall'Istituto Storico San Josemaría Escrivá, che tuttavia ha promosso l'edizione critica e monografie basate su diari e corrispondenza interni (come la citata opera di Onésimo Díaz). L'Archivio Storico Diplomatico del Ministero degli Affari Esteri italiano conserva la serie Portogallo per il periodo 1969-1974, non ancora spogliata ai fini di questa ricerca. Per l'Italia, l'Archivio Aldo Moro è inventariato e in parte digitalizzato (aldomorodigitale.unibo.it; patrimonio.archivio.senato.it).</w:t>
      </w:r>
    </w:p>
    <w:p>
      <w:pPr>
        <w:pStyle w:val="Heading3"/>
        <w:spacing w:after="80" w:before="160"/>
      </w:pPr>
      <w:r>
        <w:rPr>
          <w:rFonts w:ascii="Barlow Semi Condensed" w:cs="Barlow Semi Condensed" w:eastAsia="Barlow Semi Condensed" w:hAnsi="Barlow Semi Condensed"/>
          <w:sz w:val="24"/>
          <w:szCs w:val="24"/>
        </w:rPr>
        <w:t xml:space="preserve">CAPITOLO XI — Le triangolazioni</w:t>
      </w:r>
    </w:p>
    <w:p>
      <w:pPr>
        <w:spacing w:after="120" w:line="276"/>
        <w:jc w:val="both"/>
      </w:pPr>
      <w:r>
        <w:rPr>
          <w:rFonts w:ascii="Barlow Semi Condensed" w:cs="Barlow Semi Condensed" w:eastAsia="Barlow Semi Condensed" w:hAnsi="Barlow Semi Condensed"/>
          <w:sz w:val="24"/>
          <w:szCs w:val="24"/>
        </w:rPr>
        <w:t xml:space="preserve">Applicando rigorosamente la distinzione fra convergenza di obiettivo documentata, simultaneità di reazione a un medesimo evento, comunanza di ambiente istituzionale e mera contemporaneità cronologica, si registra quanto segue, indicando per ciascun asse il grado di sostegno documentale e ciò che esso non stabilisce. </w:t>
      </w:r>
      <w:r>
        <w:rPr>
          <w:rFonts w:ascii="Barlow Semi Condensed" w:cs="Barlow Semi Condensed" w:eastAsia="Barlow Semi Condensed" w:hAnsi="Barlow Semi Condensed"/>
          <w:b/>
          <w:bCs/>
          <w:sz w:val="24"/>
          <w:szCs w:val="24"/>
        </w:rPr>
        <w:t xml:space="preserve">Moro–Opus Dei</w:t>
      </w:r>
      <w:r>
        <w:rPr>
          <w:rFonts w:ascii="Barlow Semi Condensed" w:cs="Barlow Semi Condensed" w:eastAsia="Barlow Semi Condensed" w:hAnsi="Barlow Semi Condensed"/>
          <w:sz w:val="24"/>
          <w:szCs w:val="24"/>
        </w:rPr>
        <w:t xml:space="preserve">: nessun punto di contatto documentato (Stato Zero, Cap. VIII); la triangolazione non esiste sul piano delle fonti, e la contemporaneità del ministero Moro con la fase spagnola dei ministri dell'Opus Dei non stabilisce nulla. </w:t>
      </w:r>
      <w:r>
        <w:rPr>
          <w:rFonts w:ascii="Barlow Semi Condensed" w:cs="Barlow Semi Condensed" w:eastAsia="Barlow Semi Condensed" w:hAnsi="Barlow Semi Condensed"/>
          <w:b/>
          <w:bCs/>
          <w:sz w:val="24"/>
          <w:szCs w:val="24"/>
        </w:rPr>
        <w:t xml:space="preserve">Moro–Portogallo</w:t>
      </w:r>
      <w:r>
        <w:rPr>
          <w:rFonts w:ascii="Barlow Semi Condensed" w:cs="Barlow Semi Condensed" w:eastAsia="Barlow Semi Condensed" w:hAnsi="Barlow Semi Condensed"/>
          <w:sz w:val="24"/>
          <w:szCs w:val="24"/>
        </w:rPr>
        <w:t xml:space="preserve">: solo cornice diplomatica generale, senza documenti specifici reperiti (Cap. VII); ciò che non si stabilisce è qualunque iniziativa morotea mirata al Portogallo. </w:t>
      </w:r>
      <w:r>
        <w:rPr>
          <w:rFonts w:ascii="Barlow Semi Condensed" w:cs="Barlow Semi Condensed" w:eastAsia="Barlow Semi Condensed" w:hAnsi="Barlow Semi Condensed"/>
          <w:b/>
          <w:bCs/>
          <w:sz w:val="24"/>
          <w:szCs w:val="24"/>
        </w:rPr>
        <w:t xml:space="preserve">Opus Dei–Portogallo</w:t>
      </w:r>
      <w:r>
        <w:rPr>
          <w:rFonts w:ascii="Barlow Semi Condensed" w:cs="Barlow Semi Condensed" w:eastAsia="Barlow Semi Condensed" w:hAnsi="Barlow Semi Condensed"/>
          <w:sz w:val="24"/>
          <w:szCs w:val="24"/>
        </w:rPr>
        <w:t xml:space="preserve">: contatto documentato con la gerarchia (rapporti dapprima tesi, poi ricomposti nel 1972, con Cerejeira, e con il successore António Ribeiro dal 1971) e sorveglianza PIDE documentata dai fondi Torre do Tombo (Cap. III); ciò che tale documentazione non stabilisce è una condotta politica effettiva dell'ente, restando essa prova di sospetto, non di azione. </w:t>
      </w:r>
      <w:r>
        <w:rPr>
          <w:rFonts w:ascii="Barlow Semi Condensed" w:cs="Barlow Semi Condensed" w:eastAsia="Barlow Semi Condensed" w:hAnsi="Barlow Semi Condensed"/>
          <w:b/>
          <w:bCs/>
          <w:sz w:val="24"/>
          <w:szCs w:val="24"/>
        </w:rPr>
        <w:t xml:space="preserve">Confronto col caso spagnolo</w:t>
      </w:r>
      <w:r>
        <w:rPr>
          <w:rFonts w:ascii="Barlow Semi Condensed" w:cs="Barlow Semi Condensed" w:eastAsia="Barlow Semi Condensed" w:hAnsi="Barlow Semi Condensed"/>
          <w:sz w:val="24"/>
          <w:szCs w:val="24"/>
        </w:rPr>
        <w:t xml:space="preserve">: comunanza di ambiente istituzionale cattolico ma divergenza netta di esito politico (Cap. IV), il che è una differenza, non una triangolazione. Il solo nodo comune reale è la </w:t>
      </w:r>
      <w:r>
        <w:rPr>
          <w:rFonts w:ascii="Barlow Semi Condensed" w:cs="Barlow Semi Condensed" w:eastAsia="Barlow Semi Condensed" w:hAnsi="Barlow Semi Condensed"/>
          <w:b/>
          <w:bCs/>
          <w:sz w:val="24"/>
          <w:szCs w:val="24"/>
        </w:rPr>
        <w:t xml:space="preserve">mediazione della Santa Sé</w:t>
      </w:r>
      <w:r>
        <w:rPr>
          <w:rFonts w:ascii="Barlow Semi Condensed" w:cs="Barlow Semi Condensed" w:eastAsia="Barlow Semi Condensed" w:hAnsi="Barlow Semi Condensed"/>
          <w:sz w:val="24"/>
          <w:szCs w:val="24"/>
        </w:rPr>
        <w:t xml:space="preserve">: Paolo VI mediò per il riconoscimento dell'Opus Dei, e la Santa Sé fu interlocutrice tanto del Portogallo (Concordato e Accordo missionario del 7 maggio 1940; Protocollo addizionale del 15 febbraio 1975 firmato da Villot e Salgado Zenha, già acquisito nelle ricognizioni anteriori) quanto dell'Italia concordataria. Anche questo nodo, però, è di comunanza d'interlocutore, non di convergenza d'obiettivo documentata fra Moro e l'Opus Dei. Nessuna delle triangolazioni esaminate stabilisce un nesso operativo fra l'azione diplomatica di Moro, la vicenda portoghese e l'Opus Dei: la contemporaneità cronologica, qui come altrove, non prova alcun legame.</w:t>
      </w:r>
    </w:p>
    <w:p>
      <w:pPr>
        <w:pStyle w:val="Heading3"/>
        <w:spacing w:after="80" w:before="160"/>
      </w:pPr>
      <w:r>
        <w:rPr>
          <w:rFonts w:ascii="Barlow Semi Condensed" w:cs="Barlow Semi Condensed" w:eastAsia="Barlow Semi Condensed" w:hAnsi="Barlow Semi Condensed"/>
          <w:sz w:val="24"/>
          <w:szCs w:val="24"/>
        </w:rPr>
        <w:t xml:space="preserve">CAPITOLO XII — Stato Zero e tavola discorsiva delle acquisizioni non conseguite</w:t>
      </w:r>
    </w:p>
    <w:p>
      <w:pPr>
        <w:spacing w:after="120" w:line="276"/>
        <w:jc w:val="both"/>
      </w:pPr>
      <w:r>
        <w:rPr>
          <w:rFonts w:ascii="Barlow Semi Condensed" w:cs="Barlow Semi Condensed" w:eastAsia="Barlow Semi Condensed" w:hAnsi="Barlow Semi Condensed"/>
          <w:sz w:val="24"/>
          <w:szCs w:val="24"/>
        </w:rPr>
        <w:t xml:space="preserve">Si raccolgono qui gli esiti negativi, ordinati per rendimento atteso decrescente, ciascuno con la sede e la condizione di chiusura, ribadendo che gli esiti negativi sono acquisizioni di pieno valore. In primo luogo, la posizione dell'Opus Dei </w:t>
      </w:r>
      <w:r>
        <w:rPr>
          <w:rFonts w:ascii="Barlow Semi Condensed" w:cs="Barlow Semi Condensed" w:eastAsia="Barlow Semi Condensed" w:hAnsi="Barlow Semi Condensed"/>
          <w:i/>
          <w:iCs/>
          <w:sz w:val="24"/>
          <w:szCs w:val="24"/>
        </w:rPr>
        <w:t xml:space="preserve">come istituzione</w:t>
      </w:r>
      <w:r>
        <w:rPr>
          <w:rFonts w:ascii="Barlow Semi Condensed" w:cs="Barlow Semi Condensed" w:eastAsia="Barlow Semi Condensed" w:hAnsi="Barlow Semi Condensed"/>
          <w:sz w:val="24"/>
          <w:szCs w:val="24"/>
        </w:rPr>
        <w:t xml:space="preserve"> sulle guerre coloniali e sulla questione africana resta non documentata: andrebbe cercata nell'Archivio Generale della Prelatura a Roma e nei fondi diocesani portoghesi (Nampula, Beira, Tete, Patriarcato di Lisbona); condizione di chiusura, l'accesso mediato dall'Istituto Storico San Josemaría Escrivá e l'autorizzazione degli archivi ecclesiastici. In secondo luogo, le carte diplomatiche italiane su Moro e il Portogallo, potenzialmente il reperimento a più alto rendimento per la specifica triangolazione richiesta: andrebbero cercate nell'Archivio Storico Diplomatico della Farnesina, serie Portogallo 1969-1974, e nell'Archivio Aldo Moro; condizione di chiusura, ricerca in loco sui telespressi e sui rapporti dell'ambasciata italiana a Lisbona. In terzo luogo, la conferma o smentita definitiva del nesso Moro–Opus Dei, allo stato Stato Zero confermato, chiudibile solo con lo spoglio integrale dell'Archivio Aldo Moro e della Fondazione Aldo Moro. In quarto luogo, i fascicoli PIDE/DGS originali sull'Opus Dei (nota del 1961 «As Actividades do Opus Dei em Portugal»; rapporti del settembre 1963 e del gennaio 1964), da consultare direttamente alla Torre do Tombo per verificare autonomamente le citazioni della pubblicistica Vilela–Brandão e distinguere il testo primario dalla parafrasi giornalistica; condizione di chiusura, richiesta al servizio di riferimento e vaglio del regolamento speciale PIDE/DGS. In quinto luogo, l'eventuale documento CIA o del Dipartimento di Stato non indicizzato che menzioni Opus Dei e Portogallo: condizione di chiusura, interrogazione diretta dell'indice interno del Reading Room e richiesta FOIA mirata. La ricerca, nel suo insieme, converge su una conclusione sobria: il "versante nuovo" dell'Opus Dei in Portogallo è reale e documentabile come storia di sorveglianza e di marginalità politica, non di potere; il "primo oggetto" Moro-Portogallo è quasi tutto da reperire negli archivi diplomatici; e le triangolazioni, sottoposte a disciplina probatoria, si riducono a un solo nodo vaticano, che non regge alcuna inferenza ulteriore.</w:t>
      </w:r>
    </w:p>
    <w:p>
      <w:pPr>
        <w:pStyle w:val="Heading2"/>
        <w:spacing w:after="100" w:before="200"/>
      </w:pPr>
      <w:r>
        <w:rPr>
          <w:rFonts w:ascii="Barlow Semi Condensed" w:cs="Barlow Semi Condensed" w:eastAsia="Barlow Semi Condensed" w:hAnsi="Barlow Semi Condensed"/>
          <w:sz w:val="24"/>
          <w:szCs w:val="24"/>
        </w:rPr>
        <w:t xml:space="preserve">Recommendations</w:t>
      </w:r>
    </w:p>
    <w:p>
      <w:pPr>
        <w:spacing w:after="40"/>
        <w:ind w:left="360"/>
        <w:jc w:val="both"/>
      </w:pPr>
      <w:r>
        <w:rPr>
          <w:rFonts w:ascii="Barlow Semi Condensed" w:cs="Barlow Semi Condensed" w:eastAsia="Barlow Semi Condensed" w:hAnsi="Barlow Semi Condensed"/>
          <w:sz w:val="24"/>
          <w:szCs w:val="24"/>
        </w:rPr>
        <w:t xml:space="preserve">1. </w:t>
      </w:r>
      <w:r>
        <w:rPr>
          <w:rFonts w:ascii="Barlow Semi Condensed" w:cs="Barlow Semi Condensed" w:eastAsia="Barlow Semi Condensed" w:hAnsi="Barlow Semi Condensed"/>
          <w:b/>
          <w:bCs/>
          <w:sz w:val="24"/>
          <w:szCs w:val="24"/>
        </w:rPr>
        <w:t xml:space="preserve">Priorità immediata (massimo rendimento atteso):</w:t>
      </w:r>
      <w:r>
        <w:rPr>
          <w:rFonts w:ascii="Barlow Semi Condensed" w:cs="Barlow Semi Condensed" w:eastAsia="Barlow Semi Condensed" w:hAnsi="Barlow Semi Condensed"/>
          <w:sz w:val="24"/>
          <w:szCs w:val="24"/>
        </w:rPr>
        <w:t xml:space="preserve"> condurre lo spoglio della serie Portogallo 1969-1974 presso l'Archivio Storico Diplomatico della Farnesina, cercando telespressi dell'ambasciata di Lisbona e appunti della Direzione Generale Affari Politici: è l'unica sede in cui la triangolazione Moro-Portogallo può passare dallo Stato Zero a un accertamento. Benchmark che cambierebbe la valutazione: il rinvenimento anche di un solo documento firmato o siglato da Moro sul Portogallo.</w:t>
      </w:r>
    </w:p>
    <w:p>
      <w:pPr>
        <w:spacing w:after="40"/>
        <w:ind w:left="360"/>
        <w:jc w:val="both"/>
      </w:pPr>
      <w:r>
        <w:rPr>
          <w:rFonts w:ascii="Barlow Semi Condensed" w:cs="Barlow Semi Condensed" w:eastAsia="Barlow Semi Condensed" w:hAnsi="Barlow Semi Condensed"/>
          <w:sz w:val="24"/>
          <w:szCs w:val="24"/>
        </w:rPr>
        <w:t xml:space="preserve">2. </w:t>
      </w:r>
      <w:r>
        <w:rPr>
          <w:rFonts w:ascii="Barlow Semi Condensed" w:cs="Barlow Semi Condensed" w:eastAsia="Barlow Semi Condensed" w:hAnsi="Barlow Semi Condensed"/>
          <w:b/>
          <w:bCs/>
          <w:sz w:val="24"/>
          <w:szCs w:val="24"/>
        </w:rPr>
        <w:t xml:space="preserve">Secondo passo:</w:t>
      </w:r>
      <w:r>
        <w:rPr>
          <w:rFonts w:ascii="Barlow Semi Condensed" w:cs="Barlow Semi Condensed" w:eastAsia="Barlow Semi Condensed" w:hAnsi="Barlow Semi Condensed"/>
          <w:sz w:val="24"/>
          <w:szCs w:val="24"/>
        </w:rPr>
        <w:t xml:space="preserve"> richiesta formale alla Torre do Tombo dei fascicoli PIDE/DGS citati (note del 1961, 1963, 1964), per verificare le citazioni contro il testo primario e distinguere ciò che il documento attesta da ciò che l'inchiesta giornalistica inferisce. Soglia critica: la conferma verbatim della frase del rapporto 1963 e dei nomi annotati.</w:t>
      </w:r>
    </w:p>
    <w:p>
      <w:pPr>
        <w:spacing w:after="40"/>
        <w:ind w:left="360"/>
        <w:jc w:val="both"/>
      </w:pPr>
      <w:r>
        <w:rPr>
          <w:rFonts w:ascii="Barlow Semi Condensed" w:cs="Barlow Semi Condensed" w:eastAsia="Barlow Semi Condensed" w:hAnsi="Barlow Semi Condensed"/>
          <w:sz w:val="24"/>
          <w:szCs w:val="24"/>
        </w:rPr>
        <w:t xml:space="preserve">3. </w:t>
      </w:r>
      <w:r>
        <w:rPr>
          <w:rFonts w:ascii="Barlow Semi Condensed" w:cs="Barlow Semi Condensed" w:eastAsia="Barlow Semi Condensed" w:hAnsi="Barlow Semi Condensed"/>
          <w:b/>
          <w:bCs/>
          <w:sz w:val="24"/>
          <w:szCs w:val="24"/>
        </w:rPr>
        <w:t xml:space="preserve">Terzo passo:</w:t>
      </w:r>
      <w:r>
        <w:rPr>
          <w:rFonts w:ascii="Barlow Semi Condensed" w:cs="Barlow Semi Condensed" w:eastAsia="Barlow Semi Condensed" w:hAnsi="Barlow Semi Condensed"/>
          <w:sz w:val="24"/>
          <w:szCs w:val="24"/>
        </w:rPr>
        <w:t xml:space="preserve"> istanza di accesso all'Archivio Generale della Prelatura (Roma) e alla Biblioteca dell'Università di Navarra per la posizione dell'ente sulle guerre coloniali e per la cronologia delle circoscrizioni/delegazioni portoghesi. Soglia: reperimento di un documento istituzionale (non testimonianza individuale) sul tema africano.</w:t>
      </w:r>
    </w:p>
    <w:p>
      <w:pPr>
        <w:spacing w:after="40"/>
        <w:ind w:left="360"/>
        <w:jc w:val="both"/>
      </w:pPr>
      <w:r>
        <w:rPr>
          <w:rFonts w:ascii="Barlow Semi Condensed" w:cs="Barlow Semi Condensed" w:eastAsia="Barlow Semi Condensed" w:hAnsi="Barlow Semi Condensed"/>
          <w:sz w:val="24"/>
          <w:szCs w:val="24"/>
        </w:rPr>
        <w:t xml:space="preserve">4. </w:t>
      </w:r>
      <w:r>
        <w:rPr>
          <w:rFonts w:ascii="Barlow Semi Condensed" w:cs="Barlow Semi Condensed" w:eastAsia="Barlow Semi Condensed" w:hAnsi="Barlow Semi Condensed"/>
          <w:b/>
          <w:bCs/>
          <w:sz w:val="24"/>
          <w:szCs w:val="24"/>
        </w:rPr>
        <w:t xml:space="preserve">Da mantenere come acquisizione stabile:</w:t>
      </w:r>
      <w:r>
        <w:rPr>
          <w:rFonts w:ascii="Barlow Semi Condensed" w:cs="Barlow Semi Condensed" w:eastAsia="Barlow Semi Condensed" w:hAnsi="Barlow Semi Condensed"/>
          <w:sz w:val="24"/>
          <w:szCs w:val="24"/>
        </w:rPr>
        <w:t xml:space="preserve"> lo Stato Zero Moro–Opus Dei va riportato come tale in ogni esito; non trattarlo come lacuna da colmare a ogni costo, ma come risultato. Cambierebbe solo di fronte a un documento diretto nell'Archivio Aldo Moro.</w:t>
      </w:r>
    </w:p>
    <w:p>
      <w:pPr>
        <w:spacing w:after="40"/>
        <w:ind w:left="360"/>
        <w:jc w:val="both"/>
      </w:pPr>
      <w:r>
        <w:rPr>
          <w:rFonts w:ascii="Barlow Semi Condensed" w:cs="Barlow Semi Condensed" w:eastAsia="Barlow Semi Condensed" w:hAnsi="Barlow Semi Condensed"/>
          <w:sz w:val="24"/>
          <w:szCs w:val="24"/>
        </w:rPr>
        <w:t xml:space="preserve">5. </w:t>
      </w:r>
      <w:r>
        <w:rPr>
          <w:rFonts w:ascii="Barlow Semi Condensed" w:cs="Barlow Semi Condensed" w:eastAsia="Barlow Semi Condensed" w:hAnsi="Barlow Semi Condensed"/>
          <w:b/>
          <w:bCs/>
          <w:sz w:val="24"/>
          <w:szCs w:val="24"/>
        </w:rPr>
        <w:t xml:space="preserve">Cautela redazionale vincolante:</w:t>
      </w:r>
      <w:r>
        <w:rPr>
          <w:rFonts w:ascii="Barlow Semi Condensed" w:cs="Barlow Semi Condensed" w:eastAsia="Barlow Semi Condensed" w:hAnsi="Barlow Semi Condensed"/>
          <w:sz w:val="24"/>
          <w:szCs w:val="24"/>
        </w:rPr>
        <w:t xml:space="preserve"> ogni menzione di Amaro da Costa, Jorge Jardim Gonçalves o altri membri viventi/deceduti va accompagnata dalla clausola che l'appartenenza non prova condotta dell'ente, e per i viventi vanno riportati solo fatti pubblici documentati.</w:t>
      </w:r>
    </w:p>
    <w:p>
      <w:pPr>
        <w:pStyle w:val="Heading2"/>
        <w:spacing w:after="100" w:before="200"/>
      </w:pPr>
      <w:r>
        <w:rPr>
          <w:rFonts w:ascii="Barlow Semi Condensed" w:cs="Barlow Semi Condensed" w:eastAsia="Barlow Semi Condensed" w:hAnsi="Barlow Semi Condensed"/>
          <w:sz w:val="24"/>
          <w:szCs w:val="24"/>
        </w:rPr>
        <w:t xml:space="preserve">Caveats</w:t>
      </w:r>
    </w:p>
    <w:p>
      <w:pPr>
        <w:spacing w:after="120" w:line="276"/>
        <w:jc w:val="both"/>
      </w:pPr>
      <w:r>
        <w:rPr>
          <w:rFonts w:ascii="Barlow Semi Condensed" w:cs="Barlow Semi Condensed" w:eastAsia="Barlow Semi Condensed" w:hAnsi="Barlow Semi Condensed"/>
          <w:sz w:val="24"/>
          <w:szCs w:val="24"/>
        </w:rPr>
        <w:t xml:space="preserve">La principale fonte sulla sorveglianza PIDE (Vilela–Brandão) è pubblicistica d'inchiesta, non studio peer-reviewed: le sue citazioni dei fascicoli sono attendibili ma non verificate qui contro l'originale, e le sue tesi cospirative (suor Lúcia, Banco da Agricultura, alleanza frustrata con Cerejeira) restano non sostenute da fonti primarie autonome. I dati numerici sui membri provengono dalla fonte ufficiale dell'ente e da dichiarazioni del vicario regionale, impiegati solo per fatti verificabili e non per valutazioni di responsabilità. Il budget di ricerca non ha consentito lo spoglio archivistico diretto, sicché diversi punti restano allo stato di Stato Zero dichiarato con indicazione della sede. La ricerca sui documenti desecretati statunitensi, pur estesa, non ha potuto interrogare l'indice interno del Reading Room e resta quindi soggetta al limite tecnico segnalato. Infine, per disciplina metodologica, non si è attribuita ad alcuna persona o istituzione alcuna responsabilità, intenzione o condotta che le fonti non accertino, e ove le fonti divergano (per esempio sulla data d'ingresso stabile dell'ente, 1945 secondo la fonte ufficiale, 1946 secondo l'inchiesta) la divergenza è stata riportata anziché risolta silenziosamente.</w:t>
      </w:r>
    </w:p>
    <w:p>
      <w:r>
        <w:br w:type="page"/>
      </w:r>
    </w:p>
    <w:p>
      <w:pPr>
        <w:pStyle w:val="Heading1"/>
        <w:spacing w:after="120" w:before="240"/>
      </w:pPr>
      <w:r>
        <w:rPr>
          <w:rFonts w:ascii="Barlow Semi Condensed" w:cs="Barlow Semi Condensed" w:eastAsia="Barlow Semi Condensed" w:hAnsi="Barlow Semi Condensed"/>
          <w:sz w:val="24"/>
          <w:szCs w:val="24"/>
        </w:rPr>
        <w:t xml:space="preserve">Parte IV — Il versante greco</w:t>
      </w:r>
    </w:p>
    <w:p>
      <w:pPr>
        <w:pStyle w:val="Heading1"/>
        <w:spacing w:after="120" w:before="240"/>
      </w:pPr>
      <w:r>
        <w:rPr>
          <w:rFonts w:ascii="Barlow Semi Condensed" w:cs="Barlow Semi Condensed" w:eastAsia="Barlow Semi Condensed" w:hAnsi="Barlow Semi Condensed"/>
          <w:sz w:val="24"/>
          <w:szCs w:val="24"/>
        </w:rPr>
        <w:t xml:space="preserve">ALDO MORO, LA GRECIA E L'OPUS DEI (1969–1985): TRE OGGETTI E LE LORO TRIANGOLAZIONI. RICOGNIZIONE STORIOGRAFICA E ARCHIVISTICA</w:t>
      </w:r>
    </w:p>
    <w:p>
      <w:pPr>
        <w:pStyle w:val="Heading2"/>
        <w:spacing w:after="100" w:before="200"/>
      </w:pPr>
      <w:r>
        <w:rPr>
          <w:rFonts w:ascii="Barlow Semi Condensed" w:cs="Barlow Semi Condensed" w:eastAsia="Barlow Semi Condensed" w:hAnsi="Barlow Semi Condensed"/>
          <w:sz w:val="24"/>
          <w:szCs w:val="24"/>
        </w:rPr>
        <w:t xml:space="preserve">CAPITOLO I — IMPIANTO, METODO E PREVISIONE DICHIARATA</w:t>
      </w:r>
    </w:p>
    <w:p>
      <w:pPr>
        <w:spacing w:after="120" w:line="276"/>
        <w:jc w:val="both"/>
      </w:pPr>
      <w:r>
        <w:rPr>
          <w:rFonts w:ascii="Barlow Semi Condensed" w:cs="Barlow Semi Condensed" w:eastAsia="Barlow Semi Condensed" w:hAnsi="Barlow Semi Condensed"/>
          <w:sz w:val="24"/>
          <w:szCs w:val="24"/>
        </w:rPr>
        <w:t xml:space="preserve">Questa ricognizione tratta tre oggetti distinti e le loro possibili triangolazioni. Il primo è l'attività di Aldo Moro come ministro degli Affari Esteri della Repubblica Italiana nei due mandati compresi fra l'agosto 1969 e il novembre 1974, in rapporto alla Grecia. Il secondo è l'eventuale presenza dell'Opus Dei in Grecia come soggetto storico nel periodo 1928-1985. Il terzo sono le triangolazioni fra i due, per via diretta o mediata dalla Santa Sede, dal Patriarcato ecumenico di Costantinopoli e dalla Chiesa ortodossa di Grecia, e il confronto con i casi iberici già studiati. Il metodo è quello delle ricognizioni anteriori: per ogni affermazione si indica la fonte e la sua natura; si dichiarano espressamente gli esiti negativi; si distingue ciò che il documento attesta da ciò che se ne inferisce; non si tratta l'appartenenza di una persona a una organizzazione come prova di una condotta dell'organizzazione, né la contemporaneità come prova di nesso; ove le fonti divergano su una data o un numero, si riporta la divergenza. Sono escluse dalle fonti citate, per disposizione del committente, l'enciclopedia collaborativa Grokipedia e il quotidiano il Manifesto.</w:t>
      </w:r>
    </w:p>
    <w:p>
      <w:pPr>
        <w:spacing w:after="120" w:line="276"/>
        <w:jc w:val="both"/>
      </w:pPr>
      <w:r>
        <w:rPr>
          <w:rFonts w:ascii="Barlow Semi Condensed" w:cs="Barlow Semi Condensed" w:eastAsia="Barlow Semi Condensed" w:hAnsi="Barlow Semi Condensed"/>
          <w:sz w:val="24"/>
          <w:szCs w:val="24"/>
        </w:rPr>
        <w:t xml:space="preserve">La previsione, dichiarata in anticipo perché il suo esito è esso stesso un risultato, è la seguente: chi scrive prevede che l'asse dell'Opus Dei in Grecia risulti quasi o del tutto vuoto per ragioni demografico-religiose, essendo la Grecia a maggioranza ortodossa, i cattolici di rito latino una minoranza esigua e la Chiesa ortodossa titolare di una posizione prevalente riconosciuta dalla Costituzione. Come si vedrà al Capitolo IX, la previsione risulta verificata. La conseguenza analitica che se ne trae è che la presenza dell'Opus Dei nei Paesi mediterranei correla con la maggioranza cattolica e non con la natura autoritaria del regime, il che spiega per contrasto la consistenza dei casi spagnolo e portoghese già studiati e la vacuità del caso greco, nonostante la Grecia abbia conosciuto, come Spagna e Portogallo, una dittatura di destra nello stesso torno di anni.</w:t>
      </w:r>
    </w:p>
    <w:p>
      <w:pPr>
        <w:spacing w:after="120" w:line="276"/>
        <w:jc w:val="both"/>
      </w:pPr>
      <w:r>
        <w:rPr>
          <w:rFonts w:ascii="Barlow Semi Condensed" w:cs="Barlow Semi Condensed" w:eastAsia="Barlow Semi Condensed" w:hAnsi="Barlow Semi Condensed"/>
          <w:sz w:val="24"/>
          <w:szCs w:val="24"/>
        </w:rPr>
        <w:t xml:space="preserve">Una precisazione sui mandati moroteani. Le fonti ufficiali del Ministero degli Affari Esteri collocano Moro alla Farnesina «dal 1969 al 1974» in modo ininterrotto attraverso il II e III governo Rumor, il governo Colombo, il I governo Andreotti e di nuovo il IV e V governo Rumor. La scheda biografica del Ministero e la voce SIUSA dell'amministrazione archivistica dei beni culturali attestano che egli fu «ininterrottamente ministro degli esteri dall'agosto 1969 fino al novembre 1974»; alcune schede enciclopediche riportano invece come estremi il maggio 1969 e il luglio 1972 per il primo tratto, divergenza che si segnala e che dipende dalla data assunta come </w:t>
      </w:r>
      <w:r>
        <w:rPr>
          <w:rFonts w:ascii="Barlow Semi Condensed" w:cs="Barlow Semi Condensed" w:eastAsia="Barlow Semi Condensed" w:hAnsi="Barlow Semi Condensed"/>
          <w:i/>
          <w:iCs/>
          <w:sz w:val="24"/>
          <w:szCs w:val="24"/>
        </w:rPr>
        <w:t xml:space="preserve">dies a quo</w:t>
      </w:r>
      <w:r>
        <w:rPr>
          <w:rFonts w:ascii="Barlow Semi Condensed" w:cs="Barlow Semi Condensed" w:eastAsia="Barlow Semi Condensed" w:hAnsi="Barlow Semi Condensed"/>
          <w:sz w:val="24"/>
          <w:szCs w:val="24"/>
        </w:rPr>
        <w:t xml:space="preserve"> (formazione del II governo Rumor o giuramento). Il committente ha fissato gli estremi al 5 agosto 1969 – 26 giugno 1972 e al 7 luglio 1973 – 23 novembre 1974: si adotta questa periodizzazione, segnalando la lieve difformità delle date nelle diverse fonti.</w:t>
      </w:r>
    </w:p>
    <w:p>
      <w:pPr>
        <w:pStyle w:val="Heading2"/>
        <w:spacing w:after="100" w:before="200"/>
      </w:pPr>
      <w:r>
        <w:rPr>
          <w:rFonts w:ascii="Barlow Semi Condensed" w:cs="Barlow Semi Condensed" w:eastAsia="Barlow Semi Condensed" w:hAnsi="Barlow Semi Condensed"/>
          <w:sz w:val="24"/>
          <w:szCs w:val="24"/>
        </w:rPr>
        <w:t xml:space="preserve">CAPITOLO II — MORO, LA GRECIA DEI COLONNELLI E L'ESPULSIONE DAL CONSIGLIO D'EUROPA (1969)</w:t>
      </w:r>
    </w:p>
    <w:p>
      <w:pPr>
        <w:spacing w:after="120" w:line="276"/>
        <w:jc w:val="both"/>
      </w:pPr>
      <w:r>
        <w:rPr>
          <w:rFonts w:ascii="Barlow Semi Condensed" w:cs="Barlow Semi Condensed" w:eastAsia="Barlow Semi Condensed" w:hAnsi="Barlow Semi Condensed"/>
          <w:sz w:val="24"/>
          <w:szCs w:val="24"/>
        </w:rPr>
        <w:t xml:space="preserve">L'atto più documentato e più rilevante del rapporto fra Moro ministro e la Grecia riguarda l'uscita della Grecia dal Consiglio d'Europa nel dicembre 1969. Il regime dei colonnelli, instaurato con il colpo di Stato del 21 aprile 1967, era stato posto sotto inchiesta dalla Commissione europea dei diritti dell'uomo su iniziativa dei governi di Danimarca, Norvegia, Svezia e Paesi Bassi, che nel settembre 1967 avevano denunciato le torture inflitte ai prigionieri politici. I lavori della Commissione si conclusero nel novembre 1969 e portarono la vicenda dinanzi agli organi di Strasburgo. La fonte primaria dirimente è la Risoluzione (69) 51 del Comitato dei Ministri del Consiglio d'Europa, adottata il 12 dicembre 1969 in materia di Grecia, e la successiva Risoluzione (70) 34, che registra come «il Governo di Grecia avendo notificato il ritiro il 12 dicembre 1969, esso ha effetto il 31 dicembre 1970». Il volume Foreign Relations of the United States 1969-1976, vol. XXIX (documento d.264), attesta parallelamente che «il 12 dicembre la Grecia si ritirò dall'appartenenza al Consiglio d'Europa dopo che una maggioranza degli Stati membri si era schierata a sostegno di una risoluzione tedesca». La seduta decisiva fu presieduta da Aldo Moro nella sua qualità di rappresentante italiano ai vertici dell'organizzazione. La saggistica in lingua italiana attesta concordemente il ruolo di Moro; la data della seduta oscilla, nelle fonti secondarie, fra il 12 e il 13 dicembre 1969, divergenza che qui si segnala: il portale accademico Storicamente (saggio di Cinzia Venturoli) indica «una seduta dell'Assemblea del Consiglio d'Europa presieduta il 13 dicembre 1969 da Aldo Moro»; il portale Storia e Futuro indica il 12 dicembre; la pubblicistica derivata dal volume di Dimitri Deliolanes </w:t>
      </w:r>
      <w:r>
        <w:rPr>
          <w:rFonts w:ascii="Barlow Semi Condensed" w:cs="Barlow Semi Condensed" w:eastAsia="Barlow Semi Condensed" w:hAnsi="Barlow Semi Condensed"/>
          <w:i/>
          <w:iCs/>
          <w:sz w:val="24"/>
          <w:szCs w:val="24"/>
        </w:rPr>
        <w:t xml:space="preserve">Colonnelli</w:t>
      </w:r>
      <w:r>
        <w:rPr>
          <w:rFonts w:ascii="Barlow Semi Condensed" w:cs="Barlow Semi Condensed" w:eastAsia="Barlow Semi Condensed" w:hAnsi="Barlow Semi Condensed"/>
          <w:sz w:val="24"/>
          <w:szCs w:val="24"/>
        </w:rPr>
        <w:t xml:space="preserve"> (Fandango, 2019) parla dell'«espulsione della Grecia dei colonnelli dal Consiglio d'Europa decretata da Moro il 12 dicembre 1969».</w:t>
      </w:r>
    </w:p>
    <w:p>
      <w:pPr>
        <w:spacing w:after="120" w:line="276"/>
        <w:jc w:val="both"/>
      </w:pPr>
      <w:r>
        <w:rPr>
          <w:rFonts w:ascii="Barlow Semi Condensed" w:cs="Barlow Semi Condensed" w:eastAsia="Barlow Semi Condensed" w:hAnsi="Barlow Semi Condensed"/>
          <w:sz w:val="24"/>
          <w:szCs w:val="24"/>
        </w:rPr>
        <w:t xml:space="preserve">Si impone una distinzione tecnica che le fonti divulgative comprimono e che la fonte primaria del Consiglio d'Europa consente di correggere: la Grecia, per prevenire il voto ormai certo, notificò essa stessa il proprio ritiro il 12 dicembre 1969, con effetto differito al 31 dicembre 1970, e denunciò la Convenzione. La formula «espulsione decretata da Moro» è dunque pubblicistica e va qualificata: la maggioranza degli Stati membri si schierò per l'iniziativa (di matrice tedesca) e Moro presiedeva l'organo che stava per deliberare; la Grecia si ritirò per non subire l'espulsione. Questo è quanto le fonti primarie e secondarie attestano; l'accertamento puntuale della condotta e delle parole di Moro in quella seduta richiederebbe lo spoglio degli atti del Consiglio d'Europa e della documentazione della Farnesina, non consultati in questa sede.</w:t>
      </w:r>
    </w:p>
    <w:p>
      <w:pPr>
        <w:spacing w:after="120" w:line="276"/>
        <w:jc w:val="both"/>
      </w:pPr>
      <w:r>
        <w:rPr>
          <w:rFonts w:ascii="Barlow Semi Condensed" w:cs="Barlow Semi Condensed" w:eastAsia="Barlow Semi Condensed" w:hAnsi="Barlow Semi Condensed"/>
          <w:sz w:val="24"/>
          <w:szCs w:val="24"/>
        </w:rPr>
        <w:t xml:space="preserve">Un elemento di contesto, da maneggiare con la cautela metodologica prescritta, è la tesi — sostenuta da Deliolanes — di una reazione vendicativa del regime greco all'iniziativa italiana: secondo tale ricostruzione, la scelta della data del 12 dicembre 1969 per la strage di piazza Fontana e per attentati contro le basi britanniche a Cipro non sarebbe stata casuale, coincidendo con la sconfitta diplomatica greca a Strasburgo. Si tratta di una tesi d'autore, esposta in un'opera di taglio giornalistico-documentario; la contemporaneità cronologica non costituisce di per sé prova di nesso causale, e la questione appartiene alla storiografia sulla strategia della tensione più che alla biografia diplomatica di Moro. La si registra come ipotesi circolante, non come fatto accertato dalle fonti primarie qui esaminate.</w:t>
      </w:r>
    </w:p>
    <w:p>
      <w:pPr>
        <w:pStyle w:val="Heading2"/>
        <w:spacing w:after="100" w:before="200"/>
      </w:pPr>
      <w:r>
        <w:rPr>
          <w:rFonts w:ascii="Barlow Semi Condensed" w:cs="Barlow Semi Condensed" w:eastAsia="Barlow Semi Condensed" w:hAnsi="Barlow Semi Condensed"/>
          <w:sz w:val="24"/>
          <w:szCs w:val="24"/>
        </w:rPr>
        <w:t xml:space="preserve">CAPITOLO III — L'ITALIA E LA GRECIA DEI COLONNELLI (1969–1974): RAPPORTI BILATERALI, ASSOCIAZIONE CEE CONGELATA, RIFUGIATI</w:t>
      </w:r>
    </w:p>
    <w:p>
      <w:pPr>
        <w:spacing w:after="120" w:line="276"/>
        <w:jc w:val="both"/>
      </w:pPr>
      <w:r>
        <w:rPr>
          <w:rFonts w:ascii="Barlow Semi Condensed" w:cs="Barlow Semi Condensed" w:eastAsia="Barlow Semi Condensed" w:hAnsi="Barlow Semi Condensed"/>
          <w:sz w:val="24"/>
          <w:szCs w:val="24"/>
        </w:rPr>
        <w:t xml:space="preserve">Il quadro dei rapporti bilaterali italo-greci durante il settennio militare va ricostruito su tre piani. Sul piano dell'accoglienza dei rifugiati politici, le fonti enciclopediche attestano che «molti paesi dell'Europa occidentale, tra cui l'Italia, dettero asilo a profughi politici greci», mentre il regime raccolse simpatie nell'estrema destra italiana (Almirante ne giustificò l'avvento come dovuto a «necessità»). Sul piano dell'integrazione europea, l'Accordo di associazione fra la Grecia e la Comunità economica europea, firmato nel giugno 1961 sotto la premiership di Karamanlis, fu «congelato» dopo il colpo di Stato del 1967 e riattivato solo dopo il luglio 1974: lo attestano concordemente il portale CVCE e il Dizionario dell'Integrazione Europea (DIZIE), che documenta come, alla caduta del regime, il presidente della Commissione François-Xavier Ortoli inviò a Karamanlis un telegramma di congratulazioni e come Claude Cheysson, a nome della Commissione, avesse già prospettato la ripresa dell'associazione e l'apertura all'adesione in caso di ripristino delle istituzioni parlamentari.</w:t>
      </w:r>
    </w:p>
    <w:p>
      <w:pPr>
        <w:spacing w:after="120" w:line="276"/>
        <w:jc w:val="both"/>
      </w:pPr>
      <w:r>
        <w:rPr>
          <w:rFonts w:ascii="Barlow Semi Condensed" w:cs="Barlow Semi Condensed" w:eastAsia="Barlow Semi Condensed" w:hAnsi="Barlow Semi Condensed"/>
          <w:sz w:val="24"/>
          <w:szCs w:val="24"/>
        </w:rPr>
        <w:t xml:space="preserve">Sul piano più propriamente bilaterale, la documentazione reperita in questa ricognizione è scarsa e non consente di ricostruire una linea italiana specifica e attiva verso Atene distinta da quella europea collettiva. Questo è un primo, importante esito parzialmente negativo: mentre per il caso spagnolo le ricognizioni anteriori hanno accertato una intransigenza italiana maggiore di quella statunitense e vaticana verso Madrid, e per il caso portoghese una sostanziale assenza di atti verso Lisbona, per il caso greco la posizione italiana appare assorbita e mediata dalle sedi multilaterali (Consiglio d'Europa, CEE, poi NATO e ONU). L'iniziativa di Strasburgo del dicembre 1969 (Capitolo II) è l'unico atto italiano fortemente caratterizzato e individuabile. L'accertamento dell'esistenza di una politica bilaterale italiana autonoma verso la giunta richiederebbe lo spoglio della serie Grecia dell'Archivio Storico Diplomatico della Farnesina (Capitolo XI), non condotto in questa sede.</w:t>
      </w:r>
    </w:p>
    <w:p>
      <w:pPr>
        <w:spacing w:after="120" w:line="276"/>
        <w:jc w:val="both"/>
      </w:pPr>
      <w:r>
        <w:rPr>
          <w:rFonts w:ascii="Barlow Semi Condensed" w:cs="Barlow Semi Condensed" w:eastAsia="Barlow Semi Condensed" w:hAnsi="Barlow Semi Condensed"/>
          <w:sz w:val="24"/>
          <w:szCs w:val="24"/>
        </w:rPr>
        <w:t xml:space="preserve">Il confronto comparativo con i casi iberici, che le ricognizioni anteriori impongono di richiamare come sfondo, illumina proprio questa differenza di regime documentale. Il caso spagnolo dispone di un baricentro nell'appartenenza all'Opus Dei di alcuni ministri di Franco. Secondo il documento ufficiale dell'ente («Opus Dei, Saint Josemaría Escrivá, Franco and his Regime»), «su 116 ministri nominati da Franco negli 11 governi fra il 1939 e il 1975, otto furono membri dell'Opus Dei; uno degli otto morì tre mesi dopo la nomina, e altri quattro rimasero in carica solo durante un governo». A questo si aggiunge la figura di Gregorio López Bravo agli Esteri (ottobre 1969 – giugno 1973) e poi di Laureano López Rodó (dal giugno 1973), oltre al rapporto CIA sul gabinetto franchista e al caso MATESA del luglio 1969. Il caso portoghese ha il proprio baricentro nella lunga vicenda dell'insediamento dell'Opus Dei dal 5 febbraio 1945 e nella sorveglianza della PIDE-DGS. Il caso greco, come si vedrà, è privo di entrambi gli elementi: non vi è un insediamento dell'Opus Dei, e dunque non vi è alcun baricentro confessionale-organizzativo attorno a cui si sia addensata documentazione. Ne consegue che, a differenza di Madrid e Lisbona, ad Atene il rapporto italiano si gioca interamente sul terreno diplomatico-multilaterale, il che è a sua volta un risultato analitico.</w:t>
      </w:r>
    </w:p>
    <w:p>
      <w:pPr>
        <w:pStyle w:val="Heading2"/>
        <w:spacing w:after="100" w:before="200"/>
      </w:pPr>
      <w:r>
        <w:rPr>
          <w:rFonts w:ascii="Barlow Semi Condensed" w:cs="Barlow Semi Condensed" w:eastAsia="Barlow Semi Condensed" w:hAnsi="Barlow Semi Condensed"/>
          <w:sz w:val="24"/>
          <w:szCs w:val="24"/>
        </w:rPr>
        <w:t xml:space="preserve">CAPITOLO IV — LA CRISI DI CIPRO DEL 1974 E LA POSIZIONE ITALIANA</w:t>
      </w:r>
    </w:p>
    <w:p>
      <w:pPr>
        <w:spacing w:after="120" w:line="276"/>
        <w:jc w:val="both"/>
      </w:pPr>
      <w:r>
        <w:rPr>
          <w:rFonts w:ascii="Barlow Semi Condensed" w:cs="Barlow Semi Condensed" w:eastAsia="Barlow Semi Condensed" w:hAnsi="Barlow Semi Condensed"/>
          <w:sz w:val="24"/>
          <w:szCs w:val="24"/>
        </w:rPr>
        <w:t xml:space="preserve">La sequenza cipriota del 1974 è documentata con precisione nelle fonti primarie internazionali. Il colpo di Stato del 15 luglio 1974 a Nicosia, condotto dalla Guardia nazionale cipriota inquadrata da ufficiali greci e sostenuto dalla giunta di Atene guidata da Dimitrios Ioannidis, rovesciò l'arcivescovo e presidente Makarios III. Il 20 luglio 1974 la Turchia intervenne militarmente, appellandosi al Trattato di garanzia di Zurigo-Londra del 1959-1960: Camera (https://dati.camera.it/ocd/aic.rdf/aic4_03754_16) l'operazione è denominata dalla Turchia «operazione di pace» e dalla comunità internazionale e dalla parte greca «invasione», divergenza di denominazione che qui si registra come prescritto. La giunta militare greca crollò Wikipedia (https://it.wikipedia.org/wiki/Questione_di_Cipro) il 23 luglio 1974 e Konstantinos Karamanlis rientrò dall'esilio parigino per formare un governo civile. Una seconda offensiva turca il 14 agosto 1974 portò all'occupazione di una porzione dell'isola variamente stimata: circa il 36% secondo la voce enciclopedica italiana Wikipedia (https://it.wikipedia.org/wiki/Questione_di_Cipro) e il committente, il «northern forty per cent» (circa il 40%) secondo il volume FRUS 1969-1976 vol. XXX (documento d.194), U.S. Department of State (https://history.state.gov/historicaldocuments/frus1969-76v30/d194) il 38% secondo altre fonti. Anche le stime dei profughi divergono, e la divergenza va riportata: circa 150.000 persone (più di un quarto della popolazione totale di Cipro e un terzo della popolazione greco-cipriota) furono sfollate dalla parte settentrionale, mentre circa 60.000 turco-ciprioti (pari a metà della popolazione turco-cipriota) si trasferirono dal sud al nord; il Governo di Cipro e le fonti dell'Internal Displacement Monitoring Centre indicano fino a 162.000 greco-ciprioti sfollati. Il cessate il fuoco del 16 agosto 1974 divenne la Linea Verde delle Nazioni Unite, Paese Italia Press (https://www.paeseitaliapress.it/esteri/2025/08/27/scudo-inter-etnico-o-limite-alla-guerra-il-ruolo-delle-forze-di-pace-onu-a-cipro/) vigilata da UNFICYP.</w:t>
      </w:r>
    </w:p>
    <w:p>
      <w:pPr>
        <w:spacing w:after="120" w:line="276"/>
        <w:jc w:val="both"/>
      </w:pPr>
      <w:r>
        <w:rPr>
          <w:rFonts w:ascii="Barlow Semi Condensed" w:cs="Barlow Semi Condensed" w:eastAsia="Barlow Semi Condensed" w:hAnsi="Barlow Semi Condensed"/>
          <w:sz w:val="24"/>
          <w:szCs w:val="24"/>
        </w:rPr>
        <w:t xml:space="preserve">I negoziati di Ginevra si svolsero in due fasi: la Dichiarazione di Ginevra del 30 luglio 1974, firmata dai ministri degli Esteri di Grecia, Turchia e Regno Unito quali potenze garanti, dopo trattative tenutesi dal 25 al 30 luglio, e la seconda tornata a partire dall'8 agosto 1974, con la partecipazione dei rappresentanti delle due comunità cipriote. Le fonti primarie disponibili (documenti del Press and Information Office cipriota e di UNFICYP; volume FRUS vol. XXX) confermano che il formato negoziale fu tripartito (Grecia, Turchia, Regno Unito), fondato sulla risoluzione 353 del Consiglio di Sicurezza. L'Italia non figura fra le potenze garanti e non prese parte diretta ai negoziati di Ginevra: questo è un esito che va dichiarato con nettezza. La ricerca di un ruolo italiano diretto nella mediazione cipriota dà esito negativo nelle fonti primarie internazionali reperite; l'eventuale attività italiana si collocò sul piano comunitario e delle Nazioni Unite, non su quello del negoziato garante.</w:t>
      </w:r>
    </w:p>
    <w:p>
      <w:pPr>
        <w:spacing w:after="120" w:line="276"/>
        <w:jc w:val="both"/>
      </w:pPr>
      <w:r>
        <w:rPr>
          <w:rFonts w:ascii="Barlow Semi Condensed" w:cs="Barlow Semi Condensed" w:eastAsia="Barlow Semi Condensed" w:hAnsi="Barlow Semi Condensed"/>
          <w:sz w:val="24"/>
          <w:szCs w:val="24"/>
        </w:rPr>
        <w:t xml:space="preserve">Quanto alla posizione ufficiale del governo italiano e agli atti di Moro — che nell'estate 1974 era ministro degli Esteri nel V governo Rumor fino al 23 novembre 1974, e poi presidente del Consiglio — la documentazione reperita in questa ricognizione non contiene dichiarazioni testuali di Moro su Cipro nei mesi di luglio-novembre 1974. Si tratta di un esito negativo importante, la cui sede di accertamento è duplice: i resoconti stenografici della Camera e del Senato della sesta legislatura (non coperti dalla banca dati del sindacato ispettivo, che parte solo dalla settima legislatura, cioè dal 5 luglio 1976, come già accertato dalle ricognizioni anteriori) e la serie Cipro dell'Archivio Storico Diplomatico. Le fonti attestano che nel Mediterraneo la linea di Moro era improntata a una politica filoaraba e a una vocazione mediatrice che privilegiava la stabilità dell'area (I. Garzia, «Il Mediterraneo nel pensiero politico di Aldo Moro»), ma non consentono di trasporre automaticamente questa impostazione in atti specifici sulla crisi cipriota. La contemporaneità della crisi cipriota con l'attentato all'Italicus (4 agosto 1974) e con la fase più acuta della crisi politica interna italiana va registrata come mera contemporaneità, non come nesso.</w:t>
      </w:r>
    </w:p>
    <w:p>
      <w:pPr>
        <w:pStyle w:val="Heading2"/>
        <w:spacing w:after="100" w:before="200"/>
      </w:pPr>
      <w:r>
        <w:rPr>
          <w:rFonts w:ascii="Barlow Semi Condensed" w:cs="Barlow Semi Condensed" w:eastAsia="Barlow Semi Condensed" w:hAnsi="Barlow Semi Condensed"/>
          <w:sz w:val="24"/>
          <w:szCs w:val="24"/>
        </w:rPr>
        <w:t xml:space="preserve">CAPITOLO V — LA GRECIA, LA NATO E LA POSIZIONE ITALIANA (AGOSTO 1974)</w:t>
      </w:r>
    </w:p>
    <w:p>
      <w:pPr>
        <w:spacing w:after="120" w:line="276"/>
        <w:jc w:val="both"/>
      </w:pPr>
      <w:r>
        <w:rPr>
          <w:rFonts w:ascii="Barlow Semi Condensed" w:cs="Barlow Semi Condensed" w:eastAsia="Barlow Semi Condensed" w:hAnsi="Barlow Semi Condensed"/>
          <w:sz w:val="24"/>
          <w:szCs w:val="24"/>
        </w:rPr>
        <w:t xml:space="preserve">La decisione di Karamanlis di ritirare le forze armate greche dalla struttura militare integrata della NATO è documentata da fonti primarie di prim'ordine. Il sito ufficiale della NATO reca la notizia «Withdrawal of Greek forces from integrated military structure of NATO» datata 14 agosto 1974. Il volume FRUS 1969-1976 vol. XXX (documento d.25, telegramma della missione USA presso la NATO del 16 settembre 1974) attesta che «effective August 14, 1974, all units of the Greek Army, Navy and Air Force are withdrawn from assignment, commitment, or ear-marking to NATO», e che il rappresentante belga de Staercke notò come fosse «curioso» che la Grecia non avesse ritirato i propri rappresentanti dal Comitato Militare. La data varia nelle fonti secondarie: 14 agosto 1974 (NATO, FRUS), 17 agosto 1974 (portale CVCE), 4 agosto 1974 (rivista The Athenian); si segnala la divergenza. La ragione della decisione, concordemente attestata, fu la mancata prevenzione, da parte dell'Alleanza, dell'intervento turco a Cipro, percepita in Grecia come un tradimento.</w:t>
      </w:r>
    </w:p>
    <w:p>
      <w:pPr>
        <w:spacing w:after="120" w:line="276"/>
        <w:jc w:val="both"/>
      </w:pPr>
      <w:r>
        <w:rPr>
          <w:rFonts w:ascii="Barlow Semi Condensed" w:cs="Barlow Semi Condensed" w:eastAsia="Barlow Semi Condensed" w:hAnsi="Barlow Semi Condensed"/>
          <w:sz w:val="24"/>
          <w:szCs w:val="24"/>
        </w:rPr>
        <w:t xml:space="preserve">La posizione italiana su questa vicenda è documentata da una fonte primaria specifica e significativa. Il telegramma del Dipartimento di Stato alla missione USA presso la NATO del 30 agosto 1974 (FRUS vol. XXX, documento d.23) istruisce di «avviare discussioni bilaterali informali con il Segretario generale Luns e con alleati selezionati (Regno Unito, Repubblica Federale Tedesca, Italia e Belgio o Paesi Bassi) sulle implicazioni della decisione greca», specificando che la Francia andava esclusa da questo cerchio perché non membro del Defence Planning Committee. L'Italia figura dunque, nella documentazione statunitense, fra i quattro-cinque alleati principali con cui Washington intese concertare la risposta al ritiro greco. Questo è un dato accertato; ciò che il documento attesta è l'inclusione dell'Italia nel novero degli interlocutori privilegiati, non il contenuto della posizione italiana, che non è precisato nei documenti reperiti. L'accertamento del contenuto della posizione italiana richiederebbe la documentazione della Rappresentanza italiana presso la NATO e la serie corrispondente della Farnesina. La Grecia rientrò nella struttura militare integrata solo nell'ottobre 1980, sotto la premiership Rallis e con la mediazione del generale Bernard Rogers (SACEUR), come attestano fonti giornalistiche coeve.</w:t>
      </w:r>
    </w:p>
    <w:p>
      <w:pPr>
        <w:pStyle w:val="Heading2"/>
        <w:spacing w:after="100" w:before="200"/>
      </w:pPr>
      <w:r>
        <w:rPr>
          <w:rFonts w:ascii="Barlow Semi Condensed" w:cs="Barlow Semi Condensed" w:eastAsia="Barlow Semi Condensed" w:hAnsi="Barlow Semi Condensed"/>
          <w:sz w:val="24"/>
          <w:szCs w:val="24"/>
        </w:rPr>
        <w:t xml:space="preserve">CAPITOLO VI — LA CSCE, LA GRECIA, MORO E L'ATTO FINALE DI HELSINKI (1975)</w:t>
      </w:r>
    </w:p>
    <w:p>
      <w:pPr>
        <w:spacing w:after="120" w:line="276"/>
        <w:jc w:val="both"/>
      </w:pPr>
      <w:r>
        <w:rPr>
          <w:rFonts w:ascii="Barlow Semi Condensed" w:cs="Barlow Semi Condensed" w:eastAsia="Barlow Semi Condensed" w:hAnsi="Barlow Semi Condensed"/>
          <w:sz w:val="24"/>
          <w:szCs w:val="24"/>
        </w:rPr>
        <w:t xml:space="preserve">La Conferenza sulla sicurezza e la cooperazione in Europa si articolò in tre fasi: l'apertura a Helsinki (3 luglio 1973), la fase negoziale di Ginevra (18 settembre 1973 – 21 luglio 1975) e la firma solenne dell'Atto finale a Helsinki il 1° agosto 1975. Il testo dell'Atto finale reca fra i firmatari la Grecia, la Santa Sede e l'Italia, insieme agli altri trentacinque Stati partecipanti. La Grecia partecipò dunque a tutte le fasi; il mutamento della sua delegazione dopo la caduta della giunta nel luglio 1974 è deducibile dalla successione dei governi (la fase di Ginevra e la firma finale caddero interamente sotto il governo democratico di Karamanlis), ma la documentazione puntuale sulla composizione della delegazione greca non è stata reperita in questa sede: la sede di accertamento è il registro completo dei circa 600 delegati conservato presso il Centro di documentazione OSCE di Praga, richiamato dallo studio dell'ICDS.</w:t>
      </w:r>
    </w:p>
    <w:p>
      <w:pPr>
        <w:spacing w:after="120" w:line="276"/>
        <w:jc w:val="both"/>
      </w:pPr>
      <w:r>
        <w:rPr>
          <w:rFonts w:ascii="Barlow Semi Condensed" w:cs="Barlow Semi Condensed" w:eastAsia="Barlow Semi Condensed" w:hAnsi="Barlow Semi Condensed"/>
          <w:sz w:val="24"/>
          <w:szCs w:val="24"/>
        </w:rPr>
        <w:t xml:space="preserve">Sul versante italiano, l'Atto finale fu sottoscritto da Aldo Moro nella duplice qualità di presidente del Consiglio dei ministri e di presidente di turno del Consiglio delle Comunità europee (l'Italia deteneva la presidenza di turno della CEE nel secondo semestre 1975). La documentazione FRUS (vol. XXXIX, documento d.334, telegramma di Kissinger del 2 agosto 1975) conferma che l'Atto finale fu firmato «da trentacinque capi di Stato o di governo» e descrive la cerimonia conclusiva. Il rapporto fra la questione cipriota e la CSCE emerge da questo stesso documento: Cipro fece circolare una dichiarazione interpretativa formale in risposta alla riserva turca sulla rappresentanza cipriota, affermando che la partecipazione alla CSCE si fondava sulla piena eguaglianza degli Stati e che la riserva turca era «priva di effetto». La questione greco-turca e cipriota fu dunque presente, sia pure marginalmente, anche al tavolo di Helsinki.</w:t>
      </w:r>
    </w:p>
    <w:p>
      <w:pPr>
        <w:spacing w:after="120" w:line="276"/>
        <w:jc w:val="both"/>
      </w:pPr>
      <w:r>
        <w:rPr>
          <w:rFonts w:ascii="Barlow Semi Condensed" w:cs="Barlow Semi Condensed" w:eastAsia="Barlow Semi Condensed" w:hAnsi="Barlow Semi Condensed"/>
          <w:sz w:val="24"/>
          <w:szCs w:val="24"/>
        </w:rPr>
        <w:t xml:space="preserve">Quanto alla posizione greca sui tre «cesti» (sicurezza; cooperazione economica, scientifica e ambientale; diritti umani e dimensione umana), la documentazione specifica non è stata reperita; si registra come esito negativo la cui sede di accertamento sono gli atti della CSCE e le memorie dei protagonisti (fra cui, per il versante italiano, le memorie di Luigi Vittorio Ferraris). È invece documentato il ruolo della Santa Sede, trattato al Capitolo VIII.</w:t>
      </w:r>
    </w:p>
    <w:p>
      <w:pPr>
        <w:pStyle w:val="Heading2"/>
        <w:spacing w:after="100" w:before="200"/>
      </w:pPr>
      <w:r>
        <w:rPr>
          <w:rFonts w:ascii="Barlow Semi Condensed" w:cs="Barlow Semi Condensed" w:eastAsia="Barlow Semi Condensed" w:hAnsi="Barlow Semi Condensed"/>
          <w:sz w:val="24"/>
          <w:szCs w:val="24"/>
        </w:rPr>
        <w:t xml:space="preserve">CAPITOLO VII — LA TRANSIZIONE GRECA, L'ADESIONE EUROPEA E IL CONFRONTO IBERICO</w:t>
      </w:r>
    </w:p>
    <w:p>
      <w:pPr>
        <w:spacing w:after="120" w:line="276"/>
        <w:jc w:val="both"/>
      </w:pPr>
      <w:r>
        <w:rPr>
          <w:rFonts w:ascii="Barlow Semi Condensed" w:cs="Barlow Semi Condensed" w:eastAsia="Barlow Semi Condensed" w:hAnsi="Barlow Semi Condensed"/>
          <w:sz w:val="24"/>
          <w:szCs w:val="24"/>
        </w:rPr>
        <w:t xml:space="preserve">La </w:t>
      </w:r>
      <w:r>
        <w:rPr>
          <w:rFonts w:ascii="Barlow Semi Condensed" w:cs="Barlow Semi Condensed" w:eastAsia="Barlow Semi Condensed" w:hAnsi="Barlow Semi Condensed"/>
          <w:i/>
          <w:iCs/>
          <w:sz w:val="24"/>
          <w:szCs w:val="24"/>
        </w:rPr>
        <w:t xml:space="preserve">metapolitefsi</w:t>
      </w:r>
      <w:r>
        <w:rPr>
          <w:rFonts w:ascii="Barlow Semi Condensed" w:cs="Barlow Semi Condensed" w:eastAsia="Barlow Semi Condensed" w:hAnsi="Barlow Semi Condensed"/>
          <w:sz w:val="24"/>
          <w:szCs w:val="24"/>
        </w:rPr>
        <w:t xml:space="preserve">, la transizione greca alla democrazia, prese avvio con il ritorno di Karamanlis il 23-24 luglio 1974. Le tappe sono documentate: le elezioni del novembre 1974, vinte da Nuova Democrazia; il referendum sulla forma di governo dell'8 dicembre 1974, che abolì la monarchia. La fonte statistica (Nohlen e Stöver) e la stampa coeva (To Vima, 10 dicembre 1974) precisano l'esito: con un'affluenza del 75,58% degli aventi diritto, il 69,18% votò a favore della repubblica (3.245.111 voti) contro il 30,82% per la monarchia (1.445.875 voti); il committente indicava il 69,17%, e la lieve difformità si segnala. Seguirono la nuova Costituzione repubblicana promulgata nel giugno 1975; la domanda greca di adesione alle Comunità europee, sulla cui data le fonti divergono fra il 12 giugno 1975 (portale CVCE, Greek News Agenda, Atlantic Council) e il 12 luglio 1975 (Ministero degli Esteri ellenico, voce enciclopedica sull'allargamento del 1981): la divergenza si segnala. Seguirono l'avvio dei negoziati nel luglio 1976, la firma del Trattato di adesione ad Atene (Zappeion) il 28 maggio 1979, la ratifica del Parlamento greco il 28 giugno 1979 e l'ingresso effettivo il 1° gennaio 1981.</w:t>
      </w:r>
    </w:p>
    <w:p>
      <w:pPr>
        <w:spacing w:after="120" w:line="276"/>
        <w:jc w:val="both"/>
      </w:pPr>
      <w:r>
        <w:rPr>
          <w:rFonts w:ascii="Barlow Semi Condensed" w:cs="Barlow Semi Condensed" w:eastAsia="Barlow Semi Condensed" w:hAnsi="Barlow Semi Condensed"/>
          <w:sz w:val="24"/>
          <w:szCs w:val="24"/>
        </w:rPr>
        <w:t xml:space="preserve">Un punto merita segnalazione perché tocca la dialettica fra Commissione e governi: la Commissione, nel suo parere, propose una fase transitoria di pre-adesione prima della piena integrazione istituzionale; Karamanlis si appellò direttamente ai governi dei Nove — Francia e Germania in particolare — e la proposta della Commissione fu respinta. La posizione italiana specifica sulla domanda greca non è stata isolata nelle fonti reperite: si registra come esito negativo, la cui sede di accertamento è duplice (Farnesina e atti comunitari). Consta però, come dato di contesto generale, che l'Ambasciata d'Italia ad Atene descrive oggi i rapporti bilaterali come «speciali e forti» e nota l'orientamento greco tradizionalmente favorevole alle candidature italiane nelle organizzazioni internazionali. Esteri (https://ambatene.esteri.it/ambasciata_atene/it/i_rapporti_bilaterali/)</w:t>
      </w:r>
    </w:p>
    <w:p>
      <w:pPr>
        <w:spacing w:after="120" w:line="276"/>
        <w:jc w:val="both"/>
      </w:pPr>
      <w:r>
        <w:rPr>
          <w:rFonts w:ascii="Barlow Semi Condensed" w:cs="Barlow Semi Condensed" w:eastAsia="Barlow Semi Condensed" w:hAnsi="Barlow Semi Condensed"/>
          <w:sz w:val="24"/>
          <w:szCs w:val="24"/>
        </w:rPr>
        <w:t xml:space="preserve">Il confronto con l'adesione iberica del 1986 è illuminante e va richiamato come sfondo comparativo. Come nota il portale CVCE, i tre Paesi mediterranei — Grecia, Spagna, Portogallo — tornarono a governi civili fra il 1974 e il 1976, e per tutti e tre l'adesione alla CEE rappresentò «una prospettiva di ancoraggio democratico». La Grecia fu ammessa nel 1981, mentre Spagna e Portogallo dovettero attendere il 1986, in parte per l'iniziale opposizione francese (timore di annacquamento della Comunità). East Journal (https://www.eastjournal.net/archives/9505) L'accessione greca «cambiò il volto della Comunità rafforzandone il carattere mediterraneo e aggiungendovi un elemento balcanico e ortodosso». Questo elemento ortodosso è precisamente ciò che, sul piano confessionale, distingue il caso greco da quelli iberici e che al Capitolo IX si rivela decisivo per la vacuità dell'asse Opus Dei.</w:t>
      </w:r>
    </w:p>
    <w:p>
      <w:pPr>
        <w:pStyle w:val="Heading2"/>
        <w:spacing w:after="100" w:before="200"/>
      </w:pPr>
      <w:r>
        <w:rPr>
          <w:rFonts w:ascii="Barlow Semi Condensed" w:cs="Barlow Semi Condensed" w:eastAsia="Barlow Semi Condensed" w:hAnsi="Barlow Semi Condensed"/>
          <w:sz w:val="24"/>
          <w:szCs w:val="24"/>
        </w:rPr>
        <w:t xml:space="preserve">CAPITOLO VIII — LA SANTA SEDE, IL PATRIARCATO ECUMENICO E LA GRECIA (1969–1975)</w:t>
      </w:r>
    </w:p>
    <w:p>
      <w:pPr>
        <w:spacing w:after="120" w:line="276"/>
        <w:jc w:val="both"/>
      </w:pPr>
      <w:r>
        <w:rPr>
          <w:rFonts w:ascii="Barlow Semi Condensed" w:cs="Barlow Semi Condensed" w:eastAsia="Barlow Semi Condensed" w:hAnsi="Barlow Semi Condensed"/>
          <w:sz w:val="24"/>
          <w:szCs w:val="24"/>
        </w:rPr>
        <w:t xml:space="preserve">Il quadro dei rapporti fra la Santa Sede e il mondo ortodosso greco nel periodo va distinto su tre livelli: il rapporto con il Patriarcato ecumenico di Costantinopoli, il rapporto con la Chiesa ortodossa di Grecia e il rapporto diplomatico con lo Stato greco. Sul primo livello, il periodo è quello del disgelo ecumenico avviato dall'abbraccio fra Paolo VI e il patriarca ecumenico Atenagora I a Gerusalemme (5 gennaio 1964) e culminato nella Dichiarazione comune cattolico-ortodossa letta simultaneamente a Roma e al Fanar il 7 dicembre 1965, che cancellò dalla memoria della Chiesa le reciproche scomuniche del 1054. La Voce e il Tempo (https://vocetempo.it/sessantanni-fa-la-fine-delle-scomuniche-fra-cattolici-e-ortodossi/) Atenagora morì nel luglio 1972 e gli succedette Dimitrios I, sotto il cui patriarcato il dialogo proseguì (l'istituzione del dialogo teologico ufficiale sarà proclamata il 30 novembre 1979, durante la visita di Giovanni Paolo II a Dimitrios). Wikipedia (https://it.wikipedia.org/wiki/Dichiarazione_comune_cattolico-ortodossa_del_1965) Questi fatti sono attestati da fonti ecclesiastiche ed enciclopediche concordi.</w:t>
      </w:r>
    </w:p>
    <w:p>
      <w:pPr>
        <w:spacing w:after="120" w:line="276"/>
        <w:jc w:val="both"/>
      </w:pPr>
      <w:r>
        <w:rPr>
          <w:rFonts w:ascii="Barlow Semi Condensed" w:cs="Barlow Semi Condensed" w:eastAsia="Barlow Semi Condensed" w:hAnsi="Barlow Semi Condensed"/>
          <w:sz w:val="24"/>
          <w:szCs w:val="24"/>
        </w:rPr>
        <w:t xml:space="preserve">Sul terzo livello, quello diplomatico-statuale, il dato è netto e conferma la specificità greca: le relazioni diplomatiche fra la Grecia e la Santa Sede furono stabilite solo nel 1979 (secondo il Ministero degli Esteri ellenico e altre fonti) o nel 1980 (secondo la voce enciclopedica dedicata), divergenza che si segnala. La Santa Sede istituì immediatamente la Nunziatura apostolica ad Atene; l'ambasciatore greco risiedette dapprima a Parigi, dove era accreditato anche presso la Francia, e solo nel 1988 fu istituita un'ambasciata greca presso la Santa Sede a Roma. Il Ministero ellenico collega esplicitamente la decisione del 1979 alle aspirazioni greche di adesione alla Comunità europea, e registra il disagio del Santo Sinodo ortodosso di fronte al riconoscimento del Vaticano come Stato dotato di autorità secolare. Ne discende un dato di grande rilievo per la triangolazione: per l'intero arco del periodo qui studiato (1969-1975), e a fortiori per gli anni del regime dei colonnelli, non esistevano relazioni diplomatiche piene fra Atene e la Santa Sede. Questo esclude alla radice l'esistenza di un canale diplomatico bilaterale vaticano-greco su cui potesse innestarsi una qualsiasi triangolazione.</w:t>
      </w:r>
    </w:p>
    <w:p>
      <w:pPr>
        <w:spacing w:after="120" w:line="276"/>
        <w:jc w:val="both"/>
      </w:pPr>
      <w:r>
        <w:rPr>
          <w:rFonts w:ascii="Barlow Semi Condensed" w:cs="Barlow Semi Condensed" w:eastAsia="Barlow Semi Condensed" w:hAnsi="Barlow Semi Condensed"/>
          <w:sz w:val="24"/>
          <w:szCs w:val="24"/>
        </w:rPr>
        <w:t xml:space="preserve">Sulla partecipazione della Santa Sede alla CSCE, le fonti sono concordi e ricche. La Santa Sede partecipò alla Conferenza come membro a pieno titolo — circostanza che le fonti vaticane e la pubblicistica qualificano come un ritorno della diplomazia pontificia sulla scena multilaterale europea dopo il lungo eclissi seguito al Congresso di Vienna del 1815. La delegazione fu guidata da mons. Agostino Casaroli e da mons. Achille Silvestrini. Le fonti divergono lievemente sull'attribuzione dei ruoli: la rivista 30Giorni attesta che «mons. Agostino Casaroli, in qualità di delegato speciale di Paolo VI, firma a nome della Santa Sede l'Atto finale»; L'Osservatore Romano e SettimanaNews attribuiscono a Silvestrini il ruolo di capo-delegazione e negoziatore principale a Helsinki e Ginevra; la lettera di Paolo VI a Casaroli del 25 luglio 1975 conferma il mandato di quest'ultimo per la fase conclusiva. Il contributo più caratterizzante della Santa Sede fu la proposta, presentata da Silvestrini e accolta «come una bomba», di includere il principio della libertà religiosa fra i principi dell'Atto finale. Non è stato reperito, invece, alcun documento che colleghi la partecipazione vaticana alla CSCE con la specifica questione greca: si registra come esito negativo.</w:t>
      </w:r>
    </w:p>
    <w:p>
      <w:pPr>
        <w:spacing w:after="120" w:line="276"/>
        <w:jc w:val="both"/>
      </w:pPr>
      <w:r>
        <w:rPr>
          <w:rFonts w:ascii="Barlow Semi Condensed" w:cs="Barlow Semi Condensed" w:eastAsia="Barlow Semi Condensed" w:hAnsi="Barlow Semi Condensed"/>
          <w:sz w:val="24"/>
          <w:szCs w:val="24"/>
        </w:rPr>
        <w:t xml:space="preserve">Sul secondo livello, la posizione della Chiesa ortodossa di Grecia e dell'arcivescovo di Atene rispetto al regime militare e alla sua caduta, la documentazione reperita in questa ricognizione è insufficiente a fondare affermazioni puntuali. Si dichiara pertanto uno </w:t>
      </w:r>
      <w:r>
        <w:rPr>
          <w:rFonts w:ascii="Barlow Semi Condensed" w:cs="Barlow Semi Condensed" w:eastAsia="Barlow Semi Condensed" w:hAnsi="Barlow Semi Condensed"/>
          <w:b/>
          <w:bCs/>
          <w:sz w:val="24"/>
          <w:szCs w:val="24"/>
        </w:rPr>
        <w:t xml:space="preserve">Stato Zero parziale</w:t>
      </w:r>
      <w:r>
        <w:rPr>
          <w:rFonts w:ascii="Barlow Semi Condensed" w:cs="Barlow Semi Condensed" w:eastAsia="Barlow Semi Condensed" w:hAnsi="Barlow Semi Condensed"/>
          <w:sz w:val="24"/>
          <w:szCs w:val="24"/>
        </w:rPr>
        <w:t xml:space="preserve"> su questo punto: la sede di accertamento sono gli studi specialistici sulla Chiesa di Grecia sotto la giunta (segnatamente sulla deposizione dell'arcivescovo Ieronymos Kotsonis, insediato nel 1967 con l'appoggio del regime, e la successiva nomina di Serafeim nel 1974) e le fonti ortodosse greche, non consultate in questa sede.</w:t>
      </w:r>
    </w:p>
    <w:p>
      <w:pPr>
        <w:pStyle w:val="Heading2"/>
        <w:spacing w:after="100" w:before="200"/>
      </w:pPr>
      <w:r>
        <w:rPr>
          <w:rFonts w:ascii="Barlow Semi Condensed" w:cs="Barlow Semi Condensed" w:eastAsia="Barlow Semi Condensed" w:hAnsi="Barlow Semi Condensed"/>
          <w:sz w:val="24"/>
          <w:szCs w:val="24"/>
        </w:rPr>
        <w:t xml:space="preserve">CAPITOLO IX — L'OPUS DEI IN GRECIA: VERIFICA DELLA PREVISIONE E STATO ZERO DOCUMENTATO</w:t>
      </w:r>
    </w:p>
    <w:p>
      <w:pPr>
        <w:spacing w:after="120" w:line="276"/>
        <w:jc w:val="both"/>
      </w:pPr>
      <w:r>
        <w:rPr>
          <w:rFonts w:ascii="Barlow Semi Condensed" w:cs="Barlow Semi Condensed" w:eastAsia="Barlow Semi Condensed" w:hAnsi="Barlow Semi Condensed"/>
          <w:sz w:val="24"/>
          <w:szCs w:val="24"/>
        </w:rPr>
        <w:t xml:space="preserve">Questo è il capitolo in cui la previsione dichiarata al Capitolo I viene messa alla prova, e in cui essa risulta verificata. La fonte dirimente è la fonte ufficiale dell'ente. L'Opus Dei pubblica sul proprio sito ufficiale, nell'articolo «La storia dell'Opus Dei», l'elenco intitolato «Data di inizio del lavoro stabile dell'Opus Dei nei vari Paesi». L'elenco, verificato integralmente, reca: 1945 Portogallo; 1946 Italia e Gran Bretagna; 1947 Francia e Irlanda; 1949 Messico e Stati Uniti; 1950 Cile e Argentina; 1951 Colombia e Venezuela; 1952 Germania; 1953 Guatemala e Perù; 1954 Ecuador; 1956 Uruguay e Svizzera; 1957 Brasile, Austria e Canada; 1958 Giappone, Kenya e Salvador; 1959 Costa Rica; 1960 Olanda; 1962 Paraguay; 1963 Australia; 1964 Filippine; 1965 Belgio e Nigeria; 1969 Portorico; 1978 Bolivia; 1980 Congo, Costa d'Avorio e Honduras; 1981 Hong Kong; 1982 Singapore e Trinidad-Tobago; 1984 Svezia; 1985 Taiwan; 1987 Finlandia; 1988 Camerun e Repubblica Dominicana; 1989 Macao, Nuova Zelanda e Polonia; 1990 Ungheria e Repubblica Ceca; 1992 Nicaragua; 1993 India e Israele; 1994 Lituania; 1996 Estonia, Slovacchia, Libano, Panama e Uganda; 1997 Kazakhistan; 1998 Sudafrica; 2003 Slovenia e Croazia; 2004 Lettonia; 2007 Russia; 2008 Indonesia; 2009 Romania e Corea del Sud; 2011 Sri Lanka. opusdei (https://opusdei.org/it-it/article/storia/) La Spagna, patria di fondazione (2 ottobre 1928), è indicata nel racconto fondativo. opusdei (https://opusdei.org/it-it/article/storia/) </w:t>
      </w:r>
      <w:r>
        <w:rPr>
          <w:rFonts w:ascii="Barlow Semi Condensed" w:cs="Barlow Semi Condensed" w:eastAsia="Barlow Semi Condensed" w:hAnsi="Barlow Semi Condensed"/>
          <w:b/>
          <w:bCs/>
          <w:sz w:val="24"/>
          <w:szCs w:val="24"/>
        </w:rPr>
        <w:t xml:space="preserve">La Grecia non compare in alcuna posizione, a nessun anno.</w:t>
      </w:r>
      <w:r>
        <w:rPr>
          <w:rFonts w:ascii="Barlow Semi Condensed" w:cs="Barlow Semi Condensed" w:eastAsia="Barlow Semi Condensed" w:hAnsi="Barlow Semi Condensed"/>
          <w:sz w:val="24"/>
          <w:szCs w:val="24"/>
        </w:rPr>
        <w:t xml:space="preserve"> Si segnala per completezza che questo elenco ufficiale data l'insediamento portoghese al 1945 (coerentemente con la prima visita di Escrivá del 5 febbraio 1945 sollecitata da suor Lúcia, come accertato dalle ricognizioni anteriori) e quello italiano e britannico al 1946.</w:t>
      </w:r>
    </w:p>
    <w:p>
      <w:pPr>
        <w:spacing w:after="120" w:line="276"/>
        <w:jc w:val="both"/>
      </w:pPr>
      <w:r>
        <w:rPr>
          <w:rFonts w:ascii="Barlow Semi Condensed" w:cs="Barlow Semi Condensed" w:eastAsia="Barlow Semi Condensed" w:hAnsi="Barlow Semi Condensed"/>
          <w:sz w:val="24"/>
          <w:szCs w:val="24"/>
        </w:rPr>
        <w:t xml:space="preserve">Il riscontro è confermato dal secondo documento ufficiale, l'articolo «Regional Circumscriptions of Opus Dei» (aggiornato al 4 giugno 2024), che elenca le ventitré circoscrizioni della Prelatura e i Paesi in esse compresi: opusdei (https://opusdei.org/en-us/article/regional-circumscriptions-opus-dei/) nessuna circoscrizione, e nessun raggruppamento mediterraneo o balcanico, include la Grecia. Va segnalata, per scrupolo e per prevenire l'errore, una circostanza che potrebbe trarre in inganno: entrambe le pagine di opusdei.org recano, nel selettore di lingua, la voce «Ελληνικά — EL · Ελλάδα». Si tratta esclusivamente di un'opzione di localizzazione linguistica del sito (l'ente offre contenuti in lingua greca), non di una dichiarazione di presenza apostolica stabile: la distinzione è metodologicamente essenziale e va tenuta ferma.</w:t>
      </w:r>
    </w:p>
    <w:p>
      <w:pPr>
        <w:spacing w:after="120" w:line="276"/>
        <w:jc w:val="both"/>
      </w:pPr>
      <w:r>
        <w:rPr>
          <w:rFonts w:ascii="Barlow Semi Condensed" w:cs="Barlow Semi Condensed" w:eastAsia="Barlow Semi Condensed" w:hAnsi="Barlow Semi Condensed"/>
          <w:sz w:val="24"/>
          <w:szCs w:val="24"/>
        </w:rPr>
        <w:t xml:space="preserve">Esiste un unico frammento che collega storicamente l'Opus Dei alla Grecia, e va riferito con la massima cautela e qualificato come non probante. Secondo una testimonianza di un ex membro (l'ex sacerdote Vladimir Felzmann, riportata in un'intervista giornalistica e ripresa in voci enciclopediche su Escrivá), Josemaría Escrivá e Álvaro del Portillo si sarebbero recati in Grecia nel 1967 «per vedere se fosse possibile portare l'Opus Dei nella Chiesa ortodossa greca», progetto che Escrivá avrebbe presto abbandonato come impraticabile. Wikipedia (https://en.wikipedia.org/wiki/Josemar%C3%ADa_Escriv%C3%A1) Si tratta di un'unica testimonianza di ex membro, controversa e contestata, relativa peraltro a un'idea esplorativa abbandonata: non attesta alcuna presenza stabilita e non muta l'esito. Esiste inoltre in greco un libello polemico intitolato «Opus Dei στην Ελλάδα» («Opus Dei in Grecia»), di taglio cospirazionista e anti-settario che confonde l'Opus Dei con movimenti laicali ortodossi greci (ΖΩΗ, ΣΩΤΗΡ): non è fonte attendibile e non documenta alcun insediamento reale.</w:t>
      </w:r>
    </w:p>
    <w:p>
      <w:pPr>
        <w:spacing w:after="120" w:line="276"/>
        <w:jc w:val="both"/>
      </w:pPr>
      <w:r>
        <w:rPr>
          <w:rFonts w:ascii="Barlow Semi Condensed" w:cs="Barlow Semi Condensed" w:eastAsia="Barlow Semi Condensed" w:hAnsi="Barlow Semi Condensed"/>
          <w:sz w:val="24"/>
          <w:szCs w:val="24"/>
        </w:rPr>
        <w:t xml:space="preserve">La previsione è dunque verificata: </w:t>
      </w:r>
      <w:r>
        <w:rPr>
          <w:rFonts w:ascii="Barlow Semi Condensed" w:cs="Barlow Semi Condensed" w:eastAsia="Barlow Semi Condensed" w:hAnsi="Barlow Semi Condensed"/>
          <w:b/>
          <w:bCs/>
          <w:sz w:val="24"/>
          <w:szCs w:val="24"/>
        </w:rPr>
        <w:t xml:space="preserve">l'asse dell'Opus Dei in Grecia è vuoto</w:t>
      </w:r>
      <w:r>
        <w:rPr>
          <w:rFonts w:ascii="Barlow Semi Condensed" w:cs="Barlow Semi Condensed" w:eastAsia="Barlow Semi Condensed" w:hAnsi="Barlow Semi Condensed"/>
          <w:sz w:val="24"/>
          <w:szCs w:val="24"/>
        </w:rPr>
        <w:t xml:space="preserve">, per il periodo 1928-1985 e successivamente. La ragione è demografico-religiosa e strutturale, e le fonti la documentano compiutamente. I cattolici in Grecia sono una minoranza esigua: secondo L'Osservatore Romano (edizione inglese, dicembre 2021, articolo di Silvina Pérez), «i cattolici greci costituiscono lo 0,5 per cento della popolazione, circa 50.000 persone… la maggioranza vive ad Atene… Syros (8.000) e Tinos (3.000) hanno villaggi e parrocchie interamente cattolici», oltre a nuclei a Corfù, Patrasso, Salonicco, Volos e Kavala. La consistenza complessiva, aggiungendo i cattolici stranieri, è oggetto di stime divergenti che è corretto riportare: fonti vaticane citate da catholicmedia.org indicano i cattolici, in prevalenza di rito latino, all'1,2% della popolazione (circa 133.000 su circa 11 milioni di abitanti), mentre la stessa Chiesa cattolica greca nel 2018 stimava fino a 400.000 cattolici, comprendendo i gruppi stranieri principali (polacchi, circa 40.000; filippini, circa 45.000; albanesi). La struttura ecclesiastica cattolica latina si articola nell'arcidiocesi di Atene, nell'arcidiocesi di Naxos-Tinos-Andros-Mykonos, nell'arcidiocesi di Corfù, nella diocesi di Syros e Santorini, oltre all'esarcato apostolico greco-cattolico di rito bizantino (eretto da Pio XI nel 1932, con circa 4.000 fedeli). ACI Stampa (https://www.acistampa.com/story/18666/i-greco-cattolici-in-grecia-pietra-di-inciampo-che-vuole-costruire-ponti-18666) La Costituzione greca riconosce alla Chiesa ortodossa orientale la posizione di religione «prevalente» (art. 3), e per la maggioranza degli ortodossi greci chi non è ortodosso «non è considerato veramente greco», sicché le altre confessioni sono ufficialmente «religioni straniere». La Nuova Bussola Quotidiana (https://lanuovabq.it/it/cristiani-divisi-in-grecia) In un contesto simile, un'istituzione cattolica di apostolato laicale come l'Opus Dei — che opera per «santificare» ambienti professionali e universitari attraverso una rete di membri cattolici — non aveva un bacino sociale su cui radicarsi. Ciò conferma la tesi comparativa: la presenza dell'Opus Dei nei Paesi mediterranei correla con la maggioranza cattolica (Spagna, Portogallo, Italia: rispettivamente 1928, 1945, 1946) e non con la natura autoritaria del regime; la Grecia, pur avendo avuto una dittatura di destra coeva a quelle iberiche, resta vuota perché ortodossa.</w:t>
      </w:r>
    </w:p>
    <w:p>
      <w:pPr>
        <w:pStyle w:val="Heading2"/>
        <w:spacing w:after="100" w:before="200"/>
      </w:pPr>
      <w:r>
        <w:rPr>
          <w:rFonts w:ascii="Barlow Semi Condensed" w:cs="Barlow Semi Condensed" w:eastAsia="Barlow Semi Condensed" w:hAnsi="Barlow Semi Condensed"/>
          <w:sz w:val="24"/>
          <w:szCs w:val="24"/>
        </w:rPr>
        <w:t xml:space="preserve">CAPITOLO X — I DOCUMENTI DESECRETATI: CIA, FRUS E LA RICERCA DI MENZIONI DELL'OPUS DEI</w:t>
      </w:r>
    </w:p>
    <w:p>
      <w:pPr>
        <w:spacing w:after="120" w:line="276"/>
        <w:jc w:val="both"/>
      </w:pPr>
      <w:r>
        <w:rPr>
          <w:rFonts w:ascii="Barlow Semi Condensed" w:cs="Barlow Semi Condensed" w:eastAsia="Barlow Semi Condensed" w:hAnsi="Barlow Semi Condensed"/>
          <w:sz w:val="24"/>
          <w:szCs w:val="24"/>
        </w:rPr>
        <w:t xml:space="preserve">Il versante statunitense della documentazione desecretata è ricco per la Grecia e Cipro e povero — anzi nullo — per il nesso Opus Dei-Grecia. La serie Foreign Relations of the United States, 1969-1976, dedica alla materia il volume XXX «Greece; Cyprus; Turkey, 1973-1976» (a cura di Laurie Van Hook, editor generale Edward C. Keefer, 2007), state (https://history.state.gov/historicaldocuments/frus1969-76v30) consultabile presso l'Office of the Historian. Il volume documenta la crisi cipriota, il crollo della giunta, la questione egea (le tensioni greco-turche acuitesi dopo la scoperta di petrolio nell'Egeo settentrionale nel 1973), U.S. Department of State (https://history.state.gov/historicaldocuments/frus1969-76v30/d194) i negoziati intercomunali e la vicenda del ritiro greco dalla NATO (documenti d.23, d.25, d.194, d.233). Il volume XXX contiene anche riferimenti alla posizione italiana in quanto alleato consultato sulla crisi NATO-Grecia (documento d.23, Capitolo V). Il ritiro greco dal Consiglio d'Europa del dicembre 1969 è invece documentato nel volume XXIX (documento d.264). Ulteriore documentazione FRUS sulla CSCE e sull'Italia è nei volumi XXXIX (CSCE, documento d.334) e XLI (Europa occidentale, documento d.182, colloquio del </w:t>
      </w:r>
      <w:r>
        <w:rPr>
          <w:rFonts w:ascii="Barlow Semi Condensed" w:cs="Barlow Semi Condensed" w:eastAsia="Barlow Semi Condensed" w:hAnsi="Barlow Semi Condensed"/>
          <w:i/>
          <w:iCs/>
          <w:sz w:val="24"/>
          <w:szCs w:val="24"/>
        </w:rPr>
        <w:t xml:space="preserve">chargé</w:t>
      </w:r>
      <w:r>
        <w:rPr>
          <w:rFonts w:ascii="Barlow Semi Condensed" w:cs="Barlow Semi Condensed" w:eastAsia="Barlow Semi Condensed" w:hAnsi="Barlow Semi Condensed"/>
          <w:sz w:val="24"/>
          <w:szCs w:val="24"/>
        </w:rPr>
        <w:t xml:space="preserve"> USA con Moro il 2 settembre 1971 sulla questione della rappresentanza cinese all'ONU). Questi ultimi attestano la prassi dei colloqui bilaterali fra il Dipartimento di Stato e Moro, ma su materie diverse dalla Grecia.</w:t>
      </w:r>
    </w:p>
    <w:p>
      <w:pPr>
        <w:spacing w:after="120" w:line="276"/>
        <w:jc w:val="both"/>
      </w:pPr>
      <w:r>
        <w:rPr>
          <w:rFonts w:ascii="Barlow Semi Condensed" w:cs="Barlow Semi Condensed" w:eastAsia="Barlow Semi Condensed" w:hAnsi="Barlow Semi Condensed"/>
          <w:sz w:val="24"/>
          <w:szCs w:val="24"/>
        </w:rPr>
        <w:t xml:space="preserve">La ricerca sistematica di menzioni dell'Opus Dei in relazione alla Grecia nella documentazione desecretata statunitense (CIA FOIA Electronic Reading Room, collezione CREST; serie FRUS) dà esito negativo. Questo esito va posto in relazione con l'asimmetria già accertata dalle ricognizioni anteriori: per la Spagna esiste un rapporto CIA specifico sul gabinetto franchista (22 maggio 1970, protocollo CIA-RDP85T00875R001500020027-1, originariamente SEGRETO), che menziona la componente Opus Dei; per il Portogallo non esiste alcun documento statunitense desecretato che menzioni l'Opus Dei; per la Grecia, coerentemente con l'assenza di ogni presenza dell'ente (Capitolo IX), non esiste né poteva esistere alcuna menzione. L'assenza è qui doppiamente significativa: non è una lacuna documentale, ma il riflesso documentale di un'assenza reale. Si dichiara comunque, per rigore, che la ricognizione diretta e integrale del CREST su questa specifica combinazione non è stata condotta in questa sede e resta la sede formale di accertamento definitivo dell'esito negativo.</w:t>
      </w:r>
    </w:p>
    <w:p>
      <w:pPr>
        <w:pStyle w:val="Heading2"/>
        <w:spacing w:after="100" w:before="200"/>
      </w:pPr>
      <w:r>
        <w:rPr>
          <w:rFonts w:ascii="Barlow Semi Condensed" w:cs="Barlow Semi Condensed" w:eastAsia="Barlow Semi Condensed" w:hAnsi="Barlow Semi Condensed"/>
          <w:sz w:val="24"/>
          <w:szCs w:val="24"/>
        </w:rPr>
        <w:t xml:space="preserve">CAPITOLO XI — GLI ARCHIVI: STATO DI ACCESSIBILITÀ DEI FONDI RILEVANTI</w:t>
      </w:r>
    </w:p>
    <w:p>
      <w:pPr>
        <w:spacing w:after="120" w:line="276"/>
        <w:jc w:val="both"/>
      </w:pPr>
      <w:r>
        <w:rPr>
          <w:rFonts w:ascii="Barlow Semi Condensed" w:cs="Barlow Semi Condensed" w:eastAsia="Barlow Semi Condensed" w:hAnsi="Barlow Semi Condensed"/>
          <w:sz w:val="24"/>
          <w:szCs w:val="24"/>
        </w:rPr>
        <w:t xml:space="preserve">L'Archivio Storico Diplomatico del Ministero degli Affari Esteri italiano, istituito nel 1902, Esteri (https://www.esteri.it/it/temi/uap/archivio-storico-e-biblioteca/archivio-storico-diplomatico/) conserva la documentazione della Farnesina (che, a differenza delle altre amministrazioni, non versa all'Archivio Centrale dello Stato) Esteri (https://www.esteri.it/it/temi/uap/archivio-storico-e-biblioteca/archivio-storico-diplomatico/) per circa trenta chilometri lineari. Esteri (https://www.esteri.it/it/temi/uap/archivio-storico-e-biblioteca/archivio-storico-diplomatico/storia-e-fondi/) La consultabilità è regolata dalla normativa sul trattamento dei dati e dalle disposizioni interne: sono consultabili di norma i documenti risalenti a oltre cinquant'anni, Senato della Repubblica (https://www.senato.it/leg16/3182?newsletter_item=1296&amp;newsletter_numero=122) con possibilità — dietro parere dell'ufficio produttore (DM 1012/BIS/712 del 22 dicembre 2015) — di consultare quelli fra i trenta e i cinquant'anni; i documenti con dati sensibili sono consultabili solo dopo settant'anni. Esteri (https://www.esteri.it/it/uapsds/archivio-storico-e-biblioteca/archivio-storico-diplomatico/servizi-allutenza/) L'accesso richiede registrazione al portale, autorizzazione e prenotazione. Esteri (https://www.esteri.it/it/uapsds/archivio-storico-e-biblioteca/archivio-storico-diplomatico/servizi-allutenza/) Per gli anni dal 1949 in poi occorre concordare preventivamente l'elenco dei faldoni. EHRI (https://portal.ehri-project.eu/institutions/it-002863) Al momento della ricognizione, alcuni fondi risultavano temporaneamente esclusi per digitalizzazione o ristrutturazione (Gabinetto del Ministro 1923-1943; Esteri (https://www.esteri.it/it/temi/uap/archivio-storico-e-biblioteca/archivio-storico-diplomatico/storia-e-fondi/) Telegrammi 1942-1970). Esteri (https://www.esteri.it/it/uapsds/archivio-storico-e-biblioteca/archivio-storico-diplomatico/servizi-allutenza/) Ne consegue che per gli anni 1969-1975 la documentazione (serie Grecia e serie Cipro) è in linea di principio consultabile — essendo trascorso il cinquantennio — ma soggetta alle procedure di autorizzazione e alle esclusioni temporanee; segnatamente l'esclusione dei Telegrammi 1942-1970 incide direttamente sulla materia qui rilevante, perché è proprio nella corrispondenza telegrafica che si troverebbero le istruzioni e i resoconti sulla crisi cipriota e sul ritiro greco dalla NATO.</w:t>
      </w:r>
    </w:p>
    <w:p>
      <w:pPr>
        <w:spacing w:after="120" w:line="276"/>
        <w:jc w:val="both"/>
      </w:pPr>
      <w:r>
        <w:rPr>
          <w:rFonts w:ascii="Barlow Semi Condensed" w:cs="Barlow Semi Condensed" w:eastAsia="Barlow Semi Condensed" w:hAnsi="Barlow Semi Condensed"/>
          <w:sz w:val="24"/>
          <w:szCs w:val="24"/>
        </w:rPr>
        <w:t xml:space="preserve">L'Archivio storico del Ministero degli Affari Esteri greco (Υπηρεσία Διπλωματικού και Ιστορικού Αρχείου) e gli Archivi generali dello Stato greco (Γενικά Αρχεία του Κράτους) sono le sedi omologhe sul versante ellenico; la Fondazione Konstantinos Karamanlis (Ίδρυμα Κωνσταντίνος Καραμανλής) conserva le carte del protagonista della </w:t>
      </w:r>
      <w:r>
        <w:rPr>
          <w:rFonts w:ascii="Barlow Semi Condensed" w:cs="Barlow Semi Condensed" w:eastAsia="Barlow Semi Condensed" w:hAnsi="Barlow Semi Condensed"/>
          <w:i/>
          <w:iCs/>
          <w:sz w:val="24"/>
          <w:szCs w:val="24"/>
        </w:rPr>
        <w:t xml:space="preserve">metapolitefsi</w:t>
      </w:r>
      <w:r>
        <w:rPr>
          <w:rFonts w:ascii="Barlow Semi Condensed" w:cs="Barlow Semi Condensed" w:eastAsia="Barlow Semi Condensed" w:hAnsi="Barlow Semi Condensed"/>
          <w:sz w:val="24"/>
          <w:szCs w:val="24"/>
        </w:rPr>
        <w:t xml:space="preserve"> e dell'adesione europea. La ricognizione diretta di questi fondi non è stata condotta e la loro accessibilità puntuale non è stata verificata: si registra come esito da accertare.</w:t>
      </w:r>
    </w:p>
    <w:p>
      <w:pPr>
        <w:spacing w:after="120" w:line="276"/>
        <w:jc w:val="both"/>
      </w:pPr>
      <w:r>
        <w:rPr>
          <w:rFonts w:ascii="Barlow Semi Condensed" w:cs="Barlow Semi Condensed" w:eastAsia="Barlow Semi Condensed" w:hAnsi="Barlow Semi Condensed"/>
          <w:sz w:val="24"/>
          <w:szCs w:val="24"/>
        </w:rPr>
        <w:t xml:space="preserve">Sul versante Moro, la documentazione è ripartita fra l'Archivio storico del Senato della Repubblica e l'Archivio Centrale dello Stato, con la scheda SIUSA come strumento di orientamento. Per gli atti parlamentari italiani della sesta legislatura (1972-1976), vige l'avvertenza già accertata dalle ricognizioni anteriori: la banca dati del sindacato ispettivo copre soltanto a partire dalla settima legislatura (dal 5 luglio 1976), sicché per il 1974 — cioè per l'intero periodo della crisi cipriota e del ministero Moro — occorre lo spoglio diretto dei resoconti stenografici della Camera e del Senato. Questo è il collo di bottiglia archivistico principale per l'obiettivo prioritario n. 1 (dichiarazioni parlamentari di Moro su Cipro). Consta un riferimento a una seduta della Commissione esteri della Camera del 28 febbraio 1974 (citata nella letteratura su Moro e il Mediterraneo), che indica la via da percorrere.</w:t>
      </w:r>
    </w:p>
    <w:p>
      <w:pPr>
        <w:pStyle w:val="Heading2"/>
        <w:spacing w:after="100" w:before="200"/>
      </w:pPr>
      <w:r>
        <w:rPr>
          <w:rFonts w:ascii="Barlow Semi Condensed" w:cs="Barlow Semi Condensed" w:eastAsia="Barlow Semi Condensed" w:hAnsi="Barlow Semi Condensed"/>
          <w:sz w:val="24"/>
          <w:szCs w:val="24"/>
        </w:rPr>
        <w:t xml:space="preserve">CAPITOLO XII — ESITI NEGATIVI, TRIANGOLAZIONI E TAVOLA DISCORSIVA DELLE ACQUISIZIONI NON CONSEGUITE</w:t>
      </w:r>
    </w:p>
    <w:p>
      <w:pPr>
        <w:spacing w:after="120" w:line="276"/>
        <w:jc w:val="both"/>
      </w:pPr>
      <w:r>
        <w:rPr>
          <w:rFonts w:ascii="Barlow Semi Condensed" w:cs="Barlow Semi Condensed" w:eastAsia="Barlow Semi Condensed" w:hAnsi="Barlow Semi Condensed"/>
          <w:sz w:val="24"/>
          <w:szCs w:val="24"/>
        </w:rPr>
        <w:t xml:space="preserve">Le triangolazioni. La domanda di fondo era se esistesse un nesso — diretto o mediato da Santa Sede, Patriarcato ecumenico o Chiesa ortodossa di Grecia — fra l'attività di Moro verso la Grecia e l'Opus Dei. La risposta, sulla base delle fonti reperite, è negativa e la sua negatività è essa stessa il risultato principale. Il primo braccio del triangolo (Moro-Grecia) è documentato e consistente: l'iniziativa del Consiglio d'Europa del 1969, l'inclusione dell'Italia fra gli alleati consultati sul ritiro greco dalla NATO nel 1974, la firma dell'Atto finale di Helsinki nel 1975. Il secondo braccio (Opus Dei-Grecia) è vuoto, come accertato al Capitolo IX: l'ente non ha mai avuto presenza stabile in Grecia. Ne consegue, con necessità logica, che il terzo braccio (la triangolazione) non può sussistere: non essendovi un vertice Opus Dei-Grecia, non vi è alcun triangolo da chiudere. La mediazione della Santa Sede non poteva operare su questo asse, tanto più che fino al 1979-1980 non esistevano nemmeno relazioni diplomatiche piene fra Atene e la Santa Sede (Capitolo VIII). Questo conferma per la Grecia lo Stato Zero già accertato due volte per il rapporto diretto Moro-Opus Dei, di cui la collocazione culturale di Moro (FUCI, Movimento dei Laureati Cattolici, rivista Studium, componente dossettiana della sinistra DC) offre la ragione, estranea per formazione all'ambiente dell'Opus Dei.</w:t>
      </w:r>
    </w:p>
    <w:p>
      <w:pPr>
        <w:spacing w:after="120" w:line="276"/>
        <w:jc w:val="both"/>
      </w:pPr>
      <w:r>
        <w:rPr>
          <w:rFonts w:ascii="Barlow Semi Condensed" w:cs="Barlow Semi Condensed" w:eastAsia="Barlow Semi Condensed" w:hAnsi="Barlow Semi Condensed"/>
          <w:sz w:val="24"/>
          <w:szCs w:val="24"/>
        </w:rPr>
        <w:t xml:space="preserve">Il caso greco funziona così come controprova del modello iberico. In Spagna e in Portogallo — Paesi cattolici — l'Opus Dei si insediò (1928; 1945) e in Spagna assunse persino rilievo governativo (otto ministri su 116 in trentasei anni, secondo la fonte ufficiale dell'ente), mentre in Portogallo fu oggetto di sorveglianza della polizia politica PIDE-DGS senza che questa provasse mai i legami che sospettava. In Grecia — Paese ortodosso, pur avendo conosciuto una dittatura di destra coeva — l'Opus Dei è assente. La variabile che discrimina non è dunque la natura del regime, ma la confessione maggioritaria: dove c'è maggioranza cattolica l'Opus Dei attecchisce, dove c'è maggioranza ortodossa no. Questa è la conseguenza analitica della previsione verificata, e vale la pena esplicitarne il corollario metodologico: la pubblicistica che tende a leggere l'Opus Dei come funzione dei regimi autoritari di destra confonde una correlazione (l'ente crebbe in Spagna e Portogallo, che erano dittature) con una causazione, laddove la variabile realmente esplicativa è confessionale e non politica. Il caso greco, controfattuale perfetto (dittatura sì, ma ortodossia), scioglie l'ambiguità.</w:t>
      </w:r>
    </w:p>
    <w:p>
      <w:pPr>
        <w:spacing w:after="120" w:line="276"/>
        <w:jc w:val="both"/>
      </w:pPr>
      <w:r>
        <w:rPr>
          <w:rFonts w:ascii="Barlow Semi Condensed" w:cs="Barlow Semi Condensed" w:eastAsia="Barlow Semi Condensed" w:hAnsi="Barlow Semi Condensed"/>
          <w:sz w:val="24"/>
          <w:szCs w:val="24"/>
        </w:rPr>
        <w:t xml:space="preserve">Segue la tavola discorsiva delle acquisizioni documentali necessarie e non conseguite, ordinate per rendimento atteso. Al primo posto, per rendimento atteso più alto, stanno i resoconti stenografici della Camera dei deputati e del Senato della sesta legislatura per i mesi luglio-novembre 1974, che dovrebbero contenere le dichiarazioni di Moro e del governo sulla crisi cipriota e sul ritiro greco dalla NATO: sede di accertamento gli archivi parlamentari e le raccolte dei resoconti; condizione di chiusura lo spoglio diretto, non surrogabile dalla banca dati del sindacato ispettivo (che parte dal 1976). Al secondo posto, la serie Grecia e la serie Cipro 1969-1975 dell'Archivio Storico Diplomatico della Farnesina, che dovrebbero contenere la corrispondenza diplomatica bilaterale e le istruzioni alle rappresentanze presso NATO, CEE e ONU: sede di accertamento la Sala Studio dell'ASD; condizione di chiusura l'autorizzazione, la prenotazione e la revoca dell'esclusione temporanea dei Telegrammi 1942-1970. Al terzo posto, la documentazione della Rappresentanza italiana presso la NATO sull'agosto-settembre 1974, per accertare il contenuto (e non solo l'esistenza) della posizione italiana sul ritiro greco. Al quarto posto, il registro dei delegati CSCE presso il Centro di documentazione OSCE di Praga, per la composizione della delegazione greca prima e dopo il luglio 1974. Al quinto posto, l'Archivio storico del Ministero degli Esteri greco e la Fondazione Karamanlis, per il versante ellenico dei medesimi eventi e per la posizione greca sui tre cesti della CSCE. Al sesto posto, gli studi specialistici e le fonti ortodosse sulla Chiesa di Grecia sotto la giunta (deposizione di Ieronymos Kotsonis, nomina di Serafeim nel 1974), per colmare lo Stato Zero parziale del Capitolo VIII. Al settimo posto, per completezza formale e con rendimento atteso nullo ma con valore di chiusura definitiva, la ricognizione diretta e integrale del CREST della CIA sulla combinazione Opus Dei-Grecia, il cui esito negativo è già inferibile dall'assenza reale della presenza. Ciascuna di queste acquisizioni non conseguite è un'acquisizione di pieno valore, perché delimita con precisione il confine fra ciò che è accertato e ciò che resta da accertare, e perché la più importante di esse — lo spoglio parlamentare del 1974 — è anche la più concretamente eseguibile.</w:t>
      </w:r>
    </w:p>
    <w:p>
      <w:r>
        <w:br w:type="page"/>
      </w:r>
    </w:p>
    <w:p>
      <w:pPr>
        <w:pStyle w:val="Heading1"/>
        <w:spacing w:after="120" w:before="240"/>
      </w:pPr>
      <w:r>
        <w:rPr>
          <w:rFonts w:ascii="Barlow Semi Condensed" w:cs="Barlow Semi Condensed" w:eastAsia="Barlow Semi Condensed" w:hAnsi="Barlow Semi Condensed"/>
          <w:sz w:val="24"/>
          <w:szCs w:val="24"/>
        </w:rPr>
        <w:t xml:space="preserve">Parte V — Il versante turco</w:t>
      </w:r>
    </w:p>
    <w:p>
      <w:pPr>
        <w:pStyle w:val="Heading1"/>
        <w:spacing w:after="120" w:before="240"/>
      </w:pPr>
      <w:r>
        <w:rPr>
          <w:rFonts w:ascii="Barlow Semi Condensed" w:cs="Barlow Semi Condensed" w:eastAsia="Barlow Semi Condensed" w:hAnsi="Barlow Semi Condensed"/>
          <w:sz w:val="24"/>
          <w:szCs w:val="24"/>
        </w:rPr>
        <w:t xml:space="preserve">Aldo Moro, la Turchia e l'Opus Dei: ricognizione storiografica e archivistica sulle triangolazioni mediterranee (1969-1975)</w:t>
      </w:r>
    </w:p>
    <w:p>
      <w:pPr>
        <w:pStyle w:val="Heading2"/>
        <w:spacing w:after="100" w:before="200"/>
      </w:pPr>
      <w:r>
        <w:rPr>
          <w:rFonts w:ascii="Barlow Semi Condensed" w:cs="Barlow Semi Condensed" w:eastAsia="Barlow Semi Condensed" w:hAnsi="Barlow Semi Condensed"/>
          <w:sz w:val="24"/>
          <w:szCs w:val="24"/>
        </w:rPr>
        <w:t xml:space="preserve">TL;DR</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Sul primo oggetto (Moro e la Turchia)</w:t>
      </w:r>
      <w:r>
        <w:rPr>
          <w:rFonts w:ascii="Barlow Semi Condensed" w:cs="Barlow Semi Condensed" w:eastAsia="Barlow Semi Condensed" w:hAnsi="Barlow Semi Condensed"/>
          <w:sz w:val="24"/>
          <w:szCs w:val="24"/>
        </w:rPr>
        <w:t xml:space="preserve">, l'acquisizione documentale più solida è che Aldo Moro firmò a nome del Consiglio delle Comunità europee l'Accordo provvisorio CEE-Turchia del 27 luglio 1971 (attestato dal Regolamento CEE n. 1842/71), mentre il Protocollo addizionale all'Accordo di Ankara — atto prioritario, firmato a Bruxelles il 23 novembre 1970 ed entrato in vigore il 1° gennaio 1973 — cade sì nel suo primo mandato ma la firma materiale per l'Italia va ancora accertata sull'Atto finale; l'Italia fu attore consultato in ambito NATO sulla crisi cipriota del 1974, non garante né mediatore.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Sul secondo oggetto (Opus Dei in Turchia)</w:t>
      </w:r>
      <w:r>
        <w:rPr>
          <w:rFonts w:ascii="Barlow Semi Condensed" w:cs="Barlow Semi Condensed" w:eastAsia="Barlow Semi Condensed" w:hAnsi="Barlow Semi Condensed"/>
          <w:sz w:val="24"/>
          <w:szCs w:val="24"/>
        </w:rPr>
        <w:t xml:space="preserve">, la previsione si conferma: l'Opus Dei, «presente in 68 Paesi», non ha presenza in Turchia, come non ne ha in Grecia e Cipro; il caso turco è il più probante del modello secondo cui la variabile discriminante dell'insediamento non è il regime né la mera presenza di minoranze cattoliche, ma la maggioranza cattolica unita a un ceto universitario e professionale cattolico.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Sul terzo oggetto (triangolazioni)</w:t>
      </w:r>
      <w:r>
        <w:rPr>
          <w:rFonts w:ascii="Barlow Semi Condensed" w:cs="Barlow Semi Condensed" w:eastAsia="Barlow Semi Condensed" w:hAnsi="Barlow Semi Condensed"/>
          <w:sz w:val="24"/>
          <w:szCs w:val="24"/>
        </w:rPr>
        <w:t xml:space="preserve">, non emergono nessi documentati fra l'azione di Moro e le vicende ecclesiali turche (chiusura di Halki nel 1971, morte di Atenagora I nel 1972): si tratta prevalentemente di simultaneità cronologiche e di comunanza di ambiente mediterraneo, non di convergenze accertate; gli esiti negativi sono numerosi e circostanziati.</w:t>
      </w:r>
    </w:p>
    <w:p>
      <w:pPr>
        <w:pStyle w:val="Heading2"/>
        <w:spacing w:after="100" w:before="200"/>
      </w:pPr>
      <w:r>
        <w:rPr>
          <w:rFonts w:ascii="Barlow Semi Condensed" w:cs="Barlow Semi Condensed" w:eastAsia="Barlow Semi Condensed" w:hAnsi="Barlow Semi Condensed"/>
          <w:sz w:val="24"/>
          <w:szCs w:val="24"/>
        </w:rPr>
        <w:t xml:space="preserve">Key Findings</w:t>
      </w:r>
    </w:p>
    <w:p>
      <w:pPr>
        <w:spacing w:after="120" w:line="276"/>
        <w:jc w:val="both"/>
      </w:pPr>
      <w:r>
        <w:rPr>
          <w:rFonts w:ascii="Barlow Semi Condensed" w:cs="Barlow Semi Condensed" w:eastAsia="Barlow Semi Condensed" w:hAnsi="Barlow Semi Condensed"/>
          <w:sz w:val="24"/>
          <w:szCs w:val="24"/>
        </w:rPr>
        <w:t xml:space="preserve">La ricerca stabilisce con certezza documentale il quadro pattizio dell'associazione CEE-Turchia e la partecipazione personale di Moro alla sua gestione nel semestre di presidenza italiana del Consiglio delle Comunità (secondo semestre 1971). Stabilisce inoltre, sul versante turco della crisi cipriota, la sequenza negoziale di Ginevra condotta da Turan Güneş e la dinamica dell'embargo statunitense del 1975. Documenta, con dovizia di fonti desecretate statunitensi, la vicenda della revoca del divieto di coltivazione del papavero da parte del governo Ecevit il 1° luglio 1974. Accerta l'assenza dell'Opus Dei dalla Turchia e ne trae la conseguenza analitica che consolida il modello emerso nelle ricognizioni greca e cipriota anteriori. Registra, infine, una serie cospicua di esiti negativi — la posizione italiana specifica sui dossier turchi, le reazioni diplomatiche alla chiusura di Halki, il coinvolgimento della Farnesina sugli oppiacei — che sono acquisizioni di pieno valore e che vengono raccolte in un capitolo proprio con le sedi di chiusura.</w:t>
      </w:r>
    </w:p>
    <w:p>
      <w:pPr>
        <w:pStyle w:val="Heading2"/>
        <w:spacing w:after="100" w:before="200"/>
      </w:pPr>
      <w:r>
        <w:rPr>
          <w:rFonts w:ascii="Barlow Semi Condensed" w:cs="Barlow Semi Condensed" w:eastAsia="Barlow Semi Condensed" w:hAnsi="Barlow Semi Condensed"/>
          <w:sz w:val="24"/>
          <w:szCs w:val="24"/>
        </w:rPr>
        <w:t xml:space="preserve">Details</w:t>
      </w:r>
    </w:p>
    <w:p>
      <w:pPr>
        <w:pStyle w:val="Heading3"/>
        <w:spacing w:after="80" w:before="160"/>
      </w:pPr>
      <w:r>
        <w:rPr>
          <w:rFonts w:ascii="Barlow Semi Condensed" w:cs="Barlow Semi Condensed" w:eastAsia="Barlow Semi Condensed" w:hAnsi="Barlow Semi Condensed"/>
          <w:sz w:val="24"/>
          <w:szCs w:val="24"/>
        </w:rPr>
        <w:t xml:space="preserve">Capitolo I — Il Protocollo addizionale all'Accordo di Ankara del 23 novembre 1970</w:t>
      </w:r>
    </w:p>
    <w:p>
      <w:pPr>
        <w:spacing w:after="120" w:line="276"/>
        <w:jc w:val="both"/>
      </w:pPr>
      <w:r>
        <w:rPr>
          <w:rFonts w:ascii="Barlow Semi Condensed" w:cs="Barlow Semi Condensed" w:eastAsia="Barlow Semi Condensed" w:hAnsi="Barlow Semi Condensed"/>
          <w:sz w:val="24"/>
          <w:szCs w:val="24"/>
        </w:rPr>
        <w:t xml:space="preserve">L'obiettivo prioritario della presente ricognizione è un atto datato che cade dentro il primo mandato ministeriale di Aldo Moro alla Farnesina (5 agosto 1969 – 26 giugno 1972): il Protocollo addizionale all'Accordo di associazione fra la Comunità economica europea e la Turchia. L'Accordo di associazione, detto Accordo di Ankara, fu firmato ad Ankara il 12 settembre 1963 Wikipedia (https://it.wikipedia.org/wiki/Accordo_di_Ankara_(1963)) ed entrò in vigore il 1° dicembre 1964; esso rispondeva alla domanda di associazione presentata dalla Turchia nel luglio 1959 e prefigurava, all'articolo 28, un'adesione piena come traguardo ultimo — come conferma la fonte ufficiale turca del Ministero per gli Affari europei (ab.gov.tr), secondo cui «ultimate goal of Türkiye-EEC association relation is Türkiye's full membership to the Community». AB Bașkanlığı (https://www.ab.gov.tr/111_en.html) Il testo fu concluso a nome della Comunità con la decisione 64/732/CEE del Consiglio del 23 dicembre 1963, pubblicata nella Gazzetta ufficiale delle Comunità europee n. 217 del 29 dicembre 1964, pagina 3687. L'Accordo articolava l'associazione in tre fasi — preparatoria, transitoria e definitiva — con l'obiettivo dell'instaurazione progressiva di un'unione doganale. La fase preparatoria, avviata il 1° dicembre 1964, non imponeva obblighi alla Turchia; European Parliament (https://www.europarl.europa.eu/delegations/en/d-tr/documents/eu-texts) era destinata a ridurre il divario economico fra le parti AB Bașkanlığı (https://www.ab.gov.tr/111_en.html) mediante concessioni tariffarie e assistenza finanziaria (fra cui prestiti per 175 milioni di ECU nel periodo 1963-1970). Wikipedia (https://it.wikipedia.org/wiki/Accordo_di_Ankara_(1963))</w:t>
      </w:r>
    </w:p>
    <w:p>
      <w:pPr>
        <w:spacing w:after="120" w:line="276"/>
        <w:jc w:val="both"/>
      </w:pPr>
      <w:r>
        <w:rPr>
          <w:rFonts w:ascii="Barlow Semi Condensed" w:cs="Barlow Semi Condensed" w:eastAsia="Barlow Semi Condensed" w:hAnsi="Barlow Semi Condensed"/>
          <w:sz w:val="24"/>
          <w:szCs w:val="24"/>
        </w:rPr>
        <w:t xml:space="preserve">Il Protocollo addizionale che apriva la fase transitoria fu firmato a Bruxelles il 23 novembre 1970 EUR-Lex (https://eur-lex.europa.eu/LexUriServ/LexUriServ.do?uri=CELEX%3A31971R1842%3AIT%3AHTML) ed entrò in vigore il 1° gennaio 1973. Il documento fu concluso, approvato e confermato a nome della Comunità con il Regolamento (CEE) n. 2760/72 del Consiglio del 19 dicembre 1972. EUR-Lex (https://eur-lex.europa.eu/legal-content/IT/TXT/?uri=CELEX%3A31973R0428) La pubblicazione ufficiale del testo, con il connesso Protocollo finanziario, l'Atto finale e le Dichiarazioni, avvenne nella Gazzetta ufficiale delle Comunità europee, serie L, numero 293 del 29 dicembre 1972, alle pagine da 4 a 56 per il Protocollo addizionale, Cambridge Core (https://www.cambridge.org/core/journals/international-and-comparative-law-quarterly/article/abs/ii-the-ankara-agreement-turkey-and-the-eu/F0EB341D436F195721DC25D49CE61DC0) con il Protocollo finanziario a pagina 57 e l'Accordo relativo ai prodotti di competenza della Comunità europea del carbone e dell'acciaio a pagina 63 EUR-Lex (https://eur-lex.europa.eu/legal-content/IT/TXT/PDF/?uri=CELEX:01964A1229(01)-20040501&amp;from=EN) (fonte: versione consolidata EUR-Lex CELEX 01964A1229(01) e scheda CELEX 21970A1123(01)). Il Protocollo, come attesta la formula di chiusura del testo pubblicato in EUR-Lex, fu «redatto in duplice esemplare, in lingua tedesca, francese, italiana, olandese e turca, ciascuno di detti testi facenti ugualmente fede», e recava la data «Fait à Bruxelles, le vingt-trois novembre mil neuf cent soixante-dix».</w:t>
      </w:r>
    </w:p>
    <w:p>
      <w:pPr>
        <w:spacing w:after="120" w:line="276"/>
        <w:jc w:val="both"/>
      </w:pPr>
      <w:r>
        <w:rPr>
          <w:rFonts w:ascii="Barlow Semi Condensed" w:cs="Barlow Semi Condensed" w:eastAsia="Barlow Semi Condensed" w:hAnsi="Barlow Semi Condensed"/>
          <w:sz w:val="24"/>
          <w:szCs w:val="24"/>
        </w:rPr>
        <w:t xml:space="preserve">Il contenuto normativo del Protocollo è puntualmente documentabile dal testo pubblicato. Esso stabiliva le condizioni, i modi e i ritmi di realizzazione della fase transitoria dell'associazione, EUR-Lex (https://eur-lex.europa.eu/LexUriServ/LexUriServ.do?uri=CELEX:21970A1123(01):IT:HTML) con due assi portanti. Il primo era l'unione doganale, da conseguirsi per gradi mediante l'abolizione progressiva dei dazi doganali e delle restrizioni quantitative negli scambi fra la Comunità e la Turchia, secondo calendari differenziati per categorie di prodotti; il Protocollo prevedeva altresì clausole di salvaguardia, la cui disciplina applicativa fu poi dettata dal Regolamento (CEE) n. 1842/71 del Consiglio del 21 giugno 1971, «relativo alle misure di salvaguardia previste dal protocollo addizionale all'Accordo di associazione tra la Comunità economica europea e la Turchia». EUR-Lex (https://eur-lex.europa.eu/LexUriServ/LexUriServ.do?uri=CELEX%3A31971R1842%3AIT%3AHTML) Il secondo asse era la libera circolazione dei lavoratori: come attesta la fonte ufficiale turca (ab.gov.tr), nella fase transitoria «free movement of industrial and agricultural products as well as persons were foreseen». AB Bașkanlığı (https://www.ab.gov.tr/111_en.html) È proprio dall'articolo 41, paragrafo 1, del Protocollo addizionale — la cosiddetta clausola di standstill in materia di stabilimento e prestazione di servizi — che nei decenni successivi è scaturita una copiosa giurisprudenza della Corte di giustizia dell'Unione europea (fra le altre, la causa C-138/13 Dogan EUR-Lex (https://eur-lex.europa.eu/legal-content/IT/TXT/HTML/?uri=CELEX:62013CC0138&amp;from=IT) e la causa C-228/06 Soysal, quest'ultima decisa il 19 febbraio 2009), EUR-Lex (https://eur-lex.europa.eu/legal-content/IT/TXT/HTML/?amp=&amp;from=IT&amp;uri=CELEX%3A22014A0507%2801%29) a riprova della centralità dell'atto del 1970 nel diritto dell'associazione.</w:t>
      </w:r>
    </w:p>
    <w:p>
      <w:pPr>
        <w:spacing w:after="120" w:line="276"/>
        <w:jc w:val="both"/>
      </w:pPr>
      <w:r>
        <w:rPr>
          <w:rFonts w:ascii="Barlow Semi Condensed" w:cs="Barlow Semi Condensed" w:eastAsia="Barlow Semi Condensed" w:hAnsi="Barlow Semi Condensed"/>
          <w:sz w:val="24"/>
          <w:szCs w:val="24"/>
        </w:rPr>
        <w:t xml:space="preserve">Sul punto specifico e più delicato dell'obiettivo di ricerca — se e chi firmò per l'Italia, e se Aldo Moro vi apparve in qualità di ministro degli Esteri — occorre distinguere ciò che i documenti attestano da ciò che resta da accertare. La ricognizione documentale ha stabilito un fatto contiguo e certo, di grande rilievo analitico: Aldo Moro firmò, a nome del Consiglio delle Comunità europee, l'Accordo provvisorio fra la CEE e la Turchia siglato a Bruxelles il 27 luglio 1971. Lo attesta il preambolo del Regolamento (CEE) n. 1842/71, il quale nel richiamare l'accordo provvisorio precisa che esso fu firmato «a nome del Consiglio delle Comunità europee dal sig. Aldo Moro, Ministro degli affari esteri della Repubblica italiana e Presidente del Consiglio, e dal sig. Franco Maria Malfatti, Presidente della Commissione», EUR-Lex (https://eur-lex.europa.eu/LexUriServ/LexUriServ.do?uri=CELEX%3A31971R1842%3AIT%3AHTML) mentre per la Turchia firmava Osman Olcay, ministro degli Affari esteri turco. Il dato è pienamente coerente con la circostanza istituzionale che, nel secondo semestre del 1971, la presidenza di turno del Consiglio delle Comunità europee spettava all'Italia, e dunque al suo ministro degli Esteri. Ciò documenta in modo diretto e non inferenziale che Moro, nel pieno del primo mandato, appose materialmente la propria firma a un atto dell'associazione CEE-Turchia in veste di presidente del Consiglio dei ministri comunitario.</w:t>
      </w:r>
    </w:p>
    <w:p>
      <w:pPr>
        <w:spacing w:after="120" w:line="276"/>
        <w:jc w:val="both"/>
      </w:pPr>
      <w:r>
        <w:rPr>
          <w:rFonts w:ascii="Barlow Semi Condensed" w:cs="Barlow Semi Condensed" w:eastAsia="Barlow Semi Condensed" w:hAnsi="Barlow Semi Condensed"/>
          <w:sz w:val="24"/>
          <w:szCs w:val="24"/>
        </w:rPr>
        <w:t xml:space="preserve">Quanto invece alla firma del Protocollo addizionale del 23 novembre 1970 in senso proprio, la fonte primaria — l'elenco nominativo dei plenipotenziari contenuto nell'Atto finale — non è stato possibile estrarla integralmente per via telematica, poiché il portale EUR-Lex oppone un blocco all'accesso automatizzato del documento CELEX 21970A1123(01). Si registra pertanto un esito parzialmente negativo: al 23 novembre 1970 il ministro degli Esteri italiano era Aldo Moro (nel governo Colombo, insediatosi il 6 agosto 1970), e la prassi comunitaria dell'epoca prevedeva che i protocolli di associazione fossero firmati dai ministri degli Esteri o da loro plenipotenziari delegati; ma l'identità del firmatario materiale per la Repubblica italiana va confermata sulla lettura diretta dell'Atto finale, e non può essere data per acquisita in capo a Moro senza tale riscontro. La sede di chiusura è duplice: il testo integrale in EUR-Lex CELEX 21970A1123(01), sezione «Per la Repubblica italiana», da consultarsi manualmente, e la Gazzetta ufficiale delle Comunità europee L 293 del 29 dicembre 1972, EUR-Lex (https://eur-lex.europa.eu/legal-content/EN/ALL/?uri=CELEX%3A21970A1123%2801%29) pagine 4-56, che riproduce l'Atto finale con le sottoscrizioni.</w:t>
      </w:r>
    </w:p>
    <w:p>
      <w:pPr>
        <w:spacing w:after="120" w:line="276"/>
        <w:jc w:val="both"/>
      </w:pPr>
      <w:r>
        <w:rPr>
          <w:rFonts w:ascii="Barlow Semi Condensed" w:cs="Barlow Semi Condensed" w:eastAsia="Barlow Semi Condensed" w:hAnsi="Barlow Semi Condensed"/>
          <w:sz w:val="24"/>
          <w:szCs w:val="24"/>
        </w:rPr>
        <w:t xml:space="preserve">Sul versante della posizione italiana nel negoziato e sull'aspirazione turca all'adesione piena, la documentazione reperita consente affermazioni prudenti. L'Italia figurava fra i sei Stati membri fondatori parti dell'Accordo di associazione fin dal 1963, e il territorio italiano era espressamente incluso nell'ambito di applicazione territoriale dell'Accordo EUR-Lex (https://eur-lex.europa.eu/legal-content/IT/ALL/?uri=CELEX%3A21964A1229%2801%29) (articolo 29). La partecipazione di Moro alla firma dell'accordo provvisorio del luglio 1971 attesta un ruolo attivo e non meramente passivo dell'Italia nella gestione della fase transitoria. Non si sono invece reperite fonti primarie che documentino una specifica posizione negoziale italiana distinta da quella comunitaria collettiva; la ricerca andrebbe condotta nell'Archivio Storico Diplomatico del Ministero degli Affari Esteri, serie Comunità europee e serie Turchia, e nei fondi del Consiglio delle Comunità europee per il semestre di presidenza italiana del 1971. Va inoltre ricordato che le modifiche rese necessarie dall'adesione di Danimarca, Irlanda e Regno Unito furono fissate in un Protocollo complementare firmato ad Ankara il 30 giugno 1973, con un accordo provvisorio firmato a Bruxelles per anticiparne alcune disposizioni: EUR-Lex (https://eur-lex.europa.eu/LexUriServ/LexUriServ.do?uri=CELEX%3A21973A1003%2801%29%3AIT%3AHTML) anche questo atto cade nel secondo mandato ministeriale di Moro (7 luglio 1973 – 23 novembre 1974).</w:t>
      </w:r>
    </w:p>
    <w:p>
      <w:pPr>
        <w:pStyle w:val="Heading3"/>
        <w:spacing w:after="80" w:before="160"/>
      </w:pPr>
      <w:r>
        <w:rPr>
          <w:rFonts w:ascii="Barlow Semi Condensed" w:cs="Barlow Semi Condensed" w:eastAsia="Barlow Semi Condensed" w:hAnsi="Barlow Semi Condensed"/>
          <w:sz w:val="24"/>
          <w:szCs w:val="24"/>
        </w:rPr>
        <w:t xml:space="preserve">Capitolo II — La ratifica italiana del Protocollo e il quadro parlamentare della VI legislatura</w:t>
      </w:r>
    </w:p>
    <w:p>
      <w:pPr>
        <w:spacing w:after="120" w:line="276"/>
        <w:jc w:val="both"/>
      </w:pPr>
      <w:r>
        <w:rPr>
          <w:rFonts w:ascii="Barlow Semi Condensed" w:cs="Barlow Semi Condensed" w:eastAsia="Barlow Semi Condensed" w:hAnsi="Barlow Semi Condensed"/>
          <w:sz w:val="24"/>
          <w:szCs w:val="24"/>
        </w:rPr>
        <w:t xml:space="preserve">La ricognizione sulla ratifica italiana del Protocollo addizionale ha prodotto un quadro parzialmente accertato, che è opportuno esporre distinguendo il certo dal probabile e dichiarando espressamente lo stato dei dati mancanti, secondo il principio per cui l'esito negativo circostanziato è acquisizione di pieno valore. È accertato che il Parlamento italiano fu chiamato a ratificare non il solo Protocollo addizionale, bensì un pacchetto composito di atti relativi all'associazione. Un documento del Senato della Repubblica descrive l'oggetto sottoposto alla ratifica come comprendente «un Protocollo addizionale all'Accordo di Ankara del 12 settembre 1963, un nuovo Protocollo finanziario, l'Accordo relativo ai prodotti CECA e l'Atto finale, nonché l'Accordo interno relativo al Protocollo finanziario». Senato della Repubblica (https://www.senato.it/service/PDF/PDFServer/DF/311398.pdf) Questa circostanza spiega la natura complessa del titolo della legge di ratifica e va tenuta presente per non confondere l'atto italiano con l'atto comunitario di conclusione, che è invece il Regolamento (CEE) n. 2760/72 del 19 dicembre 1972.</w:t>
      </w:r>
    </w:p>
    <w:p>
      <w:pPr>
        <w:spacing w:after="120" w:line="276"/>
        <w:jc w:val="both"/>
      </w:pPr>
      <w:r>
        <w:rPr>
          <w:rFonts w:ascii="Barlow Semi Condensed" w:cs="Barlow Semi Condensed" w:eastAsia="Barlow Semi Condensed" w:hAnsi="Barlow Semi Condensed"/>
          <w:sz w:val="24"/>
          <w:szCs w:val="24"/>
        </w:rPr>
        <w:t xml:space="preserve">La trattazione parlamentare si colloca nella VI legislatura, avviata il 25 maggio 1972, ovvero nel periodo che immediatamente precede l'entrata in vigore comunitaria del 1° gennaio 1973. La ratifica fu di iniziativa governativa. Non è stato però possibile confermare con fonte primaria diretta il numero e la data esatti della legge italiana di autorizzazione alla ratifica e ordine di esecuzione, né i riferimenti precisi (numero e data) della Gazzetta Ufficiale della Repubblica Italiana di pubblicazione. Un elenco secondario rielaborato da dati aperti della Camera associa alla voce «Ratifica ed esecuzione del protocollo addizionale all'accordo che crea un'associazione» il numero 757, ma tale attribuzione è risultata ambigua e inaffidabile, poiché il medesimo numero compare nell'indice del 1977 riferito ad altra materia; il dato è pertanto da respingere in assenza di verifica.</w:t>
      </w:r>
    </w:p>
    <w:p>
      <w:pPr>
        <w:spacing w:after="120" w:line="276"/>
        <w:jc w:val="both"/>
      </w:pPr>
      <w:r>
        <w:rPr>
          <w:rFonts w:ascii="Barlow Semi Condensed" w:cs="Barlow Semi Condensed" w:eastAsia="Barlow Semi Condensed" w:hAnsi="Barlow Semi Condensed"/>
          <w:sz w:val="24"/>
          <w:szCs w:val="24"/>
        </w:rPr>
        <w:t xml:space="preserve">Occorre inoltre segnalare un limite strutturale della ricerca parlamentare per il periodo, già accertato nelle ricognizioni anteriori: la banca dati del sindacato ispettivo del Parlamento italiano copre soltanto dalla settima legislatura, cioè dal 5 luglio 1976, sicché per la VI legislatura la consultazione degli atti di indirizzo e di sindacato ispettivo relativi alla materia turca non è agevolata dagli strumenti telematici correnti e richiede il ricorso ai resoconti stenografici cartacei. Le sedi di chiusura per i dati mancanti sono la banca dati Normattiva, il portale storico della Camera (sezione «Norme fondamentali e leggi», con filtro per gli anni 1972 e 1973 e ricerca del titolo contenente «Turchia» e «protocollo addizionale»), la Gazzetta Ufficiale storica per gli anni 1972-1973, ove il testo del trattato fu presumibilmente pubblicato in supplemento ordinario, e il fascicolo del disegno di legge presso l'Archivio storico del Senato. Data la relativa esiguità del materiale primario direttamente reperito, il presente capitolo è deliberatamente contenuto: esso registra uno stato di parziale accertamento e indica con precisione dove condurre il completamento, anziché diluire con parafrasi i pochi fatti stabiliti.</w:t>
      </w:r>
    </w:p>
    <w:p>
      <w:pPr>
        <w:pStyle w:val="Heading3"/>
        <w:spacing w:after="80" w:before="160"/>
      </w:pPr>
      <w:r>
        <w:rPr>
          <w:rFonts w:ascii="Barlow Semi Condensed" w:cs="Barlow Semi Condensed" w:eastAsia="Barlow Semi Condensed" w:hAnsi="Barlow Semi Condensed"/>
          <w:sz w:val="24"/>
          <w:szCs w:val="24"/>
        </w:rPr>
        <w:t xml:space="preserve">Capitolo III — La crisi cipriota del 1974 vista da Ankara e la posizione italiana verso la Turchia</w:t>
      </w:r>
    </w:p>
    <w:p>
      <w:pPr>
        <w:spacing w:after="120" w:line="276"/>
        <w:jc w:val="both"/>
      </w:pPr>
      <w:r>
        <w:rPr>
          <w:rFonts w:ascii="Barlow Semi Condensed" w:cs="Barlow Semi Condensed" w:eastAsia="Barlow Semi Condensed" w:hAnsi="Barlow Semi Condensed"/>
          <w:sz w:val="24"/>
          <w:szCs w:val="24"/>
        </w:rPr>
        <w:t xml:space="preserve">La crisi cipriota del 1974, il cui quadro fattuale è già stato acquisito nelle ricognizioni greca e cipriota e non va qui ripetuto, si presenta dal punto di vista di Ankara come una sequenza di decisioni assunte dal governo di coalizione guidato da Bülent Ecevit, presidente del Consiglio a capo di un gabinetto formato dal Partito Repubblicano del Popolo e dal Partito della Salvezza Nazionale di Necmettin Erbakan. Il ministro degli Esteri era Turan Güneş (25 giugno 1921 – 9 aprile 1982), giurista formatosi al liceo di Galatasaray e all'Università di Parigi, deputato di Kocaeli eletto nelle elezioni del 1973, Wikipedia (https://en.wikipedia.org/wiki/Turan_G%C3%BCne%C5%9F) in carica per il breve ma denso 1974. Fu Güneş a condurre per la Turchia i negoziati di Ginevra. Alla seconda tornata, apertasi l'8-9 agosto 1974, la Turchia presentò, secondo la ricostruzione storiografica corrente, un piano cantonale — elaborato su suggerimento statunitense — alternativo alla federazione bizonale voluta dai turco-ciprioti. Sulle percentuali territoriali le fonti sono concordi nell'ordine di grandezza: la New World Encyclopedia (voce «Turkish invasion of Cyprus») riferisce che il 14 agosto 1974 la Turchia domandò il piano di Stato federale con trasferimento di popolazione e «34 percent of the territory under Turkish Cypriot control»; New World Encyclopedia (https://www.newworldencyclopedia.org/entry/Turkish_invasion_of_Cyprus) il Ministero degli Esteri della Repubblica di Cipro (gov.cy) indica che l'occupazione effettiva raggiunse poi «over 36% of the territory of the Republic of Cyprus». Government of Cyprus (https://www.gov.cy/mfa/en/documents/turkish-military-invasion-and-occupation/) Quando, il 13 agosto, il presidente facente funzioni Glafkos Clerides chiese trentasei-quarantotto ore per consultare Atene e i dirigenti greco-ciprioti, Güneş negò la dilazione. New World Encyclopedia (https://www.newworldencyclopedia.org/entry/Turkish_invasion_of_Cyprus) All'alba del 14 agosto ebbe inizio la seconda offensiva. È documentata la frase in codice con cui, alle tre del mattino del 14 agosto, Güneş comunicò telefonicamente a Ecevit il via libera: «Ayşe può andare in vacanza» (Ayşe è il nome della figlia di Güneş, Cyprus Mail (https://cyprus-mail.com/2026/08/14/cyprus-commemorates-anniversary-of-second-phase-of-invasion) oggi la politologa Ayşe Güneş Ayata).</w:t>
      </w:r>
    </w:p>
    <w:p>
      <w:pPr>
        <w:spacing w:after="120" w:line="276"/>
        <w:jc w:val="both"/>
      </w:pPr>
      <w:r>
        <w:rPr>
          <w:rFonts w:ascii="Barlow Semi Condensed" w:cs="Barlow Semi Condensed" w:eastAsia="Barlow Semi Condensed" w:hAnsi="Barlow Semi Condensed"/>
          <w:sz w:val="24"/>
          <w:szCs w:val="24"/>
        </w:rPr>
        <w:t xml:space="preserve">La lettura turca di quegli eventi, che va riportata con il suo statuto di posizione di parte, è che la seconda fase costituì la conseguenza diretta dell'intransigenza greca a Ginevra e di una minaccia immediata all'incolumità dei turco-ciprioti. Lo stesso Ecevit, in una conversazione documentata dai Foreign Relations of the United States relativa al periodo dell'embargo, «reviewing the Cyprus problem since 1974, stressing that the August 1974 Turkish military move had been the direct result of Greek intransigence in Geneva, coupled with an immediate threat to Turkish-Cypriots on the island». state (https://history.state.gov/historicaldocuments/frus1977-80v21/d117) La parte greca e cipriota, all'opposto, qualifica l'operazione come «barbarica invasione e occupazione illegale», in aperta violazione della risoluzione 353 del Consiglio di Sicurezza del 20 luglio 1974 che imponeva il cessate il fuoco immediato e la cessazione dell'intervento militare straniero. Parikiaki (https://www.parikiaki.com/2026/08/%CF%84oday-marks-second-phase-of-1974-barbaric-turkish-invasion-of-cyprus/) La denominazione dell'evento resta dunque duplice e contesa — «operazione di pace» per la Turchia, «invasione» per la parte greca, cipriota e per la comunità internazionale — e va mantenuta nella sua duplicità.</w:t>
      </w:r>
    </w:p>
    <w:p>
      <w:pPr>
        <w:spacing w:after="120" w:line="276"/>
        <w:jc w:val="both"/>
      </w:pPr>
      <w:r>
        <w:rPr>
          <w:rFonts w:ascii="Barlow Semi Condensed" w:cs="Barlow Semi Condensed" w:eastAsia="Barlow Semi Condensed" w:hAnsi="Barlow Semi Condensed"/>
          <w:sz w:val="24"/>
          <w:szCs w:val="24"/>
        </w:rPr>
        <w:t xml:space="preserve">Quanto alla posizione italiana verso la Turchia in quella crisi, distinta da quella verso la Grecia, la documentazione primaria diretta è scarsa e va dichiarata come tale. Ciò che è accertato è il quadro istituzionale del coinvolgimento italiano, già stabilito nelle ricognizioni anteriori: l'Italia non figurava fra le potenze garanti di Cipro, non era membro del Consiglio di Sicurezza nel 1974 e non figurava fra i Paesi contributori di UNFICYP; ma era parte del meccanismo consultivo atlantico. Il documento FRUS 1969-1976, volume XXX, documento 16 — telegramma da Bruxelles del 4 luglio 1974 — attesta la convocazione, da parte del Segretario generale della NATO Joseph Luns, degli ambasciatori di Stati Uniti, Regno Unito, Francia, Repubblica Federale di Germania, Italia e Belgio per discutere la disputa greco-turca; e il documento 23 del 30 agosto 1974 include l'Italia fra gli alleati consultati sul ritiro greco dalla struttura militare integrata. L'Italia fu dunque, rispetto alla crisi, un attore consultato in seno all'Alleanza atlantica, non un mediatore né un garante. Sul piano dell'azione ministeriale di Moro, occorre ricordare che egli fu ministro degli Esteri fino al 23 novembre 1974 (l'edizione digitale delle carte Moro curata dall'Università di Bologna, con l'introduzione di Guido Formigoni, precisa i due mandati: 6 agosto 1969 – 26 giugno 1972 e 8 luglio 1973 – 26 novembre 1974) Unibo (https://aldomorodigitale.unibo.it/additional_resources/?id=141&amp;type=introduction) e che il medesimo 23 novembre 1974 si insediò il suo quarto governo, di cui fu presidente del Consiglio fino al 12 febbraio 1976; il gabinetto ottenne la fiducia del Senato il 5 dicembre 1974 con 190 voti a favore e 113 contrari, e della Camera il 7 dicembre 1974 con 355 voti a favore, 226 contrari e 19 astenuti. Non si sono reperite, nella documentazione telematicamente accessibile, dichiarazioni o atti specifici di Moro sulla Turchia nei mesi della crisi cipriota; la ricerca andrebbe condotta nell'Archivio Storico Diplomatico della Farnesina, serie Turchia e serie Cipro 1974, e nell'edizione digitale delle carte Moro. Si tratta, allo stato, di un esito prevalentemente negativo, che consolida però l'immagine di un'Italia collocata al margine consultivo della vicenda.</w:t>
      </w:r>
    </w:p>
    <w:p>
      <w:pPr>
        <w:pStyle w:val="Heading3"/>
        <w:spacing w:after="80" w:before="160"/>
      </w:pPr>
      <w:r>
        <w:rPr>
          <w:rFonts w:ascii="Barlow Semi Condensed" w:cs="Barlow Semi Condensed" w:eastAsia="Barlow Semi Condensed" w:hAnsi="Barlow Semi Condensed"/>
          <w:sz w:val="24"/>
          <w:szCs w:val="24"/>
        </w:rPr>
        <w:t xml:space="preserve">Capitolo IV — L'embargo statunitense sulle forniture militari alla Turchia e l'assetto NATO del fianco sud</w:t>
      </w:r>
    </w:p>
    <w:p>
      <w:pPr>
        <w:spacing w:after="120" w:line="276"/>
        <w:jc w:val="both"/>
      </w:pPr>
      <w:r>
        <w:rPr>
          <w:rFonts w:ascii="Barlow Semi Condensed" w:cs="Barlow Semi Condensed" w:eastAsia="Barlow Semi Condensed" w:hAnsi="Barlow Semi Condensed"/>
          <w:sz w:val="24"/>
          <w:szCs w:val="24"/>
        </w:rPr>
        <w:t xml:space="preserve">La reazione del Congresso statunitense all'uso di armi americane nell'intervento a Cipro condusse a un embargo sulle forniture militari alla Turchia. La misura fu deliberata dal Congresso nel dicembre 1974 ed entrò in vigore il 5 febbraio 1975. Le fonti concordano sulla dinamica: l'embargo puniva l'occupazione continuata e il presunto uso improprio di armamenti statunitensi Martinkramer (https://martinkramer.org/wp-content/uploads/2025/09/cyprus-1974.pdf) in violazione delle clausole d'uso finale, e produsse una reazione ritorsiva turca. Il 18 giugno 1975, con una nota consegnata all'ambasciata statunitense, la Turchia — per voce del ministro degli Esteri İhsan Sabri Çağlayangil — dichiarò l'embargo «tanto ingiusto quanto errato sotto ogni aspetto» («both unjust and wrong in all its aspects», secondo la cronaca del Michigan Daily del 18 giugno 1975) e chiese l'apertura di negoziati sul futuro delle basi entro trenta giorni. umich (https://digital.bentley.umich.edu/midaily/mdp.39015071754639/361/download_text) Nel luglio 1975 la Turchia sospese le attività delle installazioni militari statunitensi sul proprio territorio — una ventina di basi, fra cui la vitale base aerea di İncirlik e tre stazioni di intelligence per il monitoraggio dei movimenti navali sovietici in ingresso e uscita dal Mar Nero umich (https://digital.bentley.umich.edu/midaily/mdp.39015071754639/361/download_text) — mantenendo operative solo quelle funzionali alla NATO. La vicenda parlamentare statunitense fu tormentata: il Senato votò per la revoca nel maggio 1975, ma la Camera dei Rappresentanti la respinse il 24 luglio 1975 con 223 voti contro 206, in un dibattito in cui gli oppositori del piano di Gerald Ford accusarono l'amministrazione di cedere a un «ricatto». msu (https://archive.lib.msu.edu/DMC/state_news/1975/state_news_19750725.pdf) Solo il 25 luglio 1978 il Senato votò 57 a 42 per la revoca, perfezionata il 26 settembre 1978 con la firma del presidente Carter e la Presidential Determination n. 78-18 state (https://history.state.gov/historicaldocuments/frus1977-80v21/d121) (fonte: FRUS 1977-1980, vol. XXI, doc. 121).</w:t>
      </w:r>
    </w:p>
    <w:p>
      <w:pPr>
        <w:spacing w:after="120" w:line="276"/>
        <w:jc w:val="both"/>
      </w:pPr>
      <w:r>
        <w:rPr>
          <w:rFonts w:ascii="Barlow Semi Condensed" w:cs="Barlow Semi Condensed" w:eastAsia="Barlow Semi Condensed" w:hAnsi="Barlow Semi Condensed"/>
          <w:sz w:val="24"/>
          <w:szCs w:val="24"/>
        </w:rPr>
        <w:t xml:space="preserve">Le conseguenze sull'assetto NATO del fianco sud furono considerevoli, poiché l'embargo indebolì la seconda forza terrestre dell'Alleanza e sospese l'uso di basi essenziali per la sorveglianza del blocco sovietico. DEU University (https://web.deu.edu.tr/kibris/articles/aftermath.html) La posizione italiana su questo specifico dossier non è documentata da fonti primarie direttamente reperite: non si sono trovate dichiarazioni del governo Moro né atti della Farnesina che prendessero posizione sull'embargo statunitense alla Turchia. Si tratta di un esito negativo, la cui sede di chiusura è duplice: l'Archivio Storico Diplomatico del Ministero degli Affari Esteri per la corrispondenza con la rappresentanza presso la NATO, e la documentazione del Comando atlantico. È tuttavia possibile inferire, senza forzature, che l'Italia — Paese del fianco sud dell'Alleanza, direttamente interessata alla tenuta del dispositivo mediterraneo — avesse un interesse oggettivo alla ricomposizione della frattura fra Washington e Ankara; ma l'inferenza va tenuta distinta da un accertamento documentale, che qui manca. Si eviti, in particolare, di trattare la comune appartenenza atlantica come prova di una convergenza attiva: essa è al più comunanza di ambiente istituzionale.</w:t>
      </w:r>
    </w:p>
    <w:p>
      <w:pPr>
        <w:pStyle w:val="Heading3"/>
        <w:spacing w:after="80" w:before="160"/>
      </w:pPr>
      <w:r>
        <w:rPr>
          <w:rFonts w:ascii="Barlow Semi Condensed" w:cs="Barlow Semi Condensed" w:eastAsia="Barlow Semi Condensed" w:hAnsi="Barlow Semi Condensed"/>
          <w:sz w:val="24"/>
          <w:szCs w:val="24"/>
        </w:rPr>
        <w:t xml:space="preserve">Capitolo V — La questione egea, la piattaforma continentale e la Convenzione di Montreux</w:t>
      </w:r>
    </w:p>
    <w:p>
      <w:pPr>
        <w:spacing w:after="120" w:line="276"/>
        <w:jc w:val="both"/>
      </w:pPr>
      <w:r>
        <w:rPr>
          <w:rFonts w:ascii="Barlow Semi Condensed" w:cs="Barlow Semi Condensed" w:eastAsia="Barlow Semi Condensed" w:hAnsi="Barlow Semi Condensed"/>
          <w:sz w:val="24"/>
          <w:szCs w:val="24"/>
        </w:rPr>
        <w:t xml:space="preserve">La disputa greco-turca sulla piattaforma continentale dell'Egeo si acuì proprio negli anni del secondo mandato di Moro. Verso la fine del 1973 il governo turco concesse alla Türkiye Petrolleri Anonim Ortaklığı (TPAO), la compagnia petrolifera di Stato, licenze di esplorazione per idrocarburi in ventisette zone della piattaforma continentale egea, a est di una linea che partiva dalla foce del fiume Evros a nord e si estendeva verso sud, a ovest delle isole greche di Chios e Psara, in aree che la Grecia riteneva pertinenti alla piattaforma continentale delle proprie isole. Eliamep (https://www.eliamep.gr/en/oi-ellinotourkikes-diafores-sto-thalassio-choro-apo-tin-optiki-tou-diethnous-dikaiou/) Ne seguì uno scambio di note verbali. Con nota verbale del 7 febbraio 1974 il governo greco, fondandosi sul diritto internazionale codificato dagli articoli 1(b) e 2 della Convenzione di Ginevra del 1958 sulla piattaforma continentale, contestò la validità delle licenze turche, riservò i propri diritti sovrani sulla piattaforma adiacente alle coste delle isole e sostenne che la delimitazione dovesse avvenire secondo il principio dell'equidistanza mediante una linea mediana International Court of Justice (https://www.icj-cij.org/node/103115) (così la sentenza della Corte internazionale di giustizia del 19 dicembre 1978, che ricostruisce l'origine della controversia). Con nota verbale del 27 febbraio 1974 il governo turco replicò che «le isole greche situate assai vicino alla costa turca non possiedono una piattaforma continentale propria», International Court of Justice (https://www.icj-cij.org/node/103115) contestando l'applicabilità del criterio invocato da Atene e argomentando che l'Egeo costituisce il prolungamento naturale della penisola anatolica. La Grecia rispose con un'ulteriore nota del 24 maggio 1974. ResearchGate (https://www.researchgate.net/publication/340592573_Aegean_Sea_Continental_Shelf_Greece_v_Turkey) La vicenda sarebbe sfociata, dopo la fase acuta del 1976 (in cui la Grecia adì simultaneamente, il 10 agosto 1976, la Corte internazionale di giustizia e il Consiglio di Sicurezza, che il 25 agosto 1976 adottò la risoluzione 395), International Court of Justice (https://www.icj-cij.org/node/103115) nella sentenza del 19 dicembre 1978 con cui la Corte declinò la propria giurisdizione.</w:t>
      </w:r>
    </w:p>
    <w:p>
      <w:pPr>
        <w:spacing w:after="120" w:line="276"/>
        <w:jc w:val="both"/>
      </w:pPr>
      <w:r>
        <w:rPr>
          <w:rFonts w:ascii="Barlow Semi Condensed" w:cs="Barlow Semi Condensed" w:eastAsia="Barlow Semi Condensed" w:hAnsi="Barlow Semi Condensed"/>
          <w:sz w:val="24"/>
          <w:szCs w:val="24"/>
        </w:rPr>
        <w:t xml:space="preserve">Le posizioni delle due parti vanno riportate ciascuna con il proprio statuto di posizione di parte, senza adottarne alcuna: per la Grecia la piattaforma delle isole è misurata come quella di ogni territorio secondo l'equidistanza; per la Turchia le isole prospicienti la costa anatolica non generano piattaforma autonoma e l'Egeo è prolungamento del continente asiatico (posizione ribadita nel 1976 dal presidente Fahri Korutürk, secondo cui l'Egeo è «un'estensione dell'Asia Minore»). Taylor &amp; Francis Online (https://www.tandfonline.com/doi/abs/10.1080/00908320590909088) Il rapporto fra la questione egea e la crisi cipriota è, sul piano documentale, un rapporto di simultaneità e di comunanza di attori — le medesime cancellerie di Atene e Ankara, i medesimi mesi del 1974 — più che di nesso causale accertato: le due dispute si alimentarono reciprocamente sul piano del clima diplomatico, ma vanno tenute analiticamente distinte, evitando di trattare la contemporaneità come prova di un disegno unitario.</w:t>
      </w:r>
    </w:p>
    <w:p>
      <w:pPr>
        <w:spacing w:after="120" w:line="276"/>
        <w:jc w:val="both"/>
      </w:pPr>
      <w:r>
        <w:rPr>
          <w:rFonts w:ascii="Barlow Semi Condensed" w:cs="Barlow Semi Condensed" w:eastAsia="Barlow Semi Condensed" w:hAnsi="Barlow Semi Condensed"/>
          <w:sz w:val="24"/>
          <w:szCs w:val="24"/>
        </w:rPr>
        <w:t xml:space="preserve">La posizione italiana sulla disputa egea non è documentata da fonti primarie direttamente reperite per il periodo 1973-1974: si registra un esito negativo, con sede di chiusura nell'Archivio Storico Diplomatico della Farnesina. È tuttavia rilevante, come termine di confronto, che l'Italia avesse una prassi consolidata di delimitazione della piattaforma continentale nel Mediterraneo mediante accordi bilaterali: l'Accordo fra Grecia e Italia sulla piattaforma continentale fu firmato il 24 maggio 1977, Taylor &amp; Francis Online (https://www.tandfonline.com/doi/abs/10.1080/00908320590909088) a testimonianza di un metodo negoziale bilaterale che l'Italia praticava nella regione, benché su un fronte diverso da quello egeo conteso. Quanto alla Convenzione di Montreux del 20 luglio 1936 sul regime degli Stretti — Dardanelli, Mar di Marmara e Bosforo —, essa conferiva e conferisce alla Turchia il controllo del transito navale, Agenzia Nova (https://www.agenzianova.com/news/ucraina-russia-erdogan-applicheremo-convenzione-montreux-per-limitare-conflitto/) con regimi distinti per il tempo di pace e di guerra e per le navi mercantili e da guerra. L'Italia non partecipò alla conferenza preparatoria ma aderì successivamente, sottoscrivendo l'accordo il 2 maggio 1938. it.google-info.cn (https://amp.it.google-info.cn/2723395/1/convenzione-di-montreux.html) Wikipedia (https://it.wikipedia.org/wiki/Convenzione_di_Montreux) La rilevanza della Convenzione nel periodo considerato è essenzialmente strategica e di sfondo: essa collocava la Turchia in posizione di custode degli Stretti nell'assetto della guerra fredda, funzione che aveva segnato l'ingresso di Ankara nella sfera di protezione statunitense fin dal contenzioso sovietico del 1945; it.google-info.cn (https://amp.it.google-info.cn/2723395/1/convenzione-di-montreux.html) Wikipedia (https://it.wikipedia.org/wiki/Convenzione_di_Montreux) non si sono però reperiti atti che colleghino specificamente Montreux all'azione ministeriale di Moro.</w:t>
      </w:r>
    </w:p>
    <w:p>
      <w:pPr>
        <w:pStyle w:val="Heading3"/>
        <w:spacing w:after="80" w:before="160"/>
      </w:pPr>
      <w:r>
        <w:rPr>
          <w:rFonts w:ascii="Barlow Semi Condensed" w:cs="Barlow Semi Condensed" w:eastAsia="Barlow Semi Condensed" w:hAnsi="Barlow Semi Condensed"/>
          <w:sz w:val="24"/>
          <w:szCs w:val="24"/>
        </w:rPr>
        <w:t xml:space="preserve">Capitolo VI — I rapporti bilaterali Italia-Turchia 1969-1975</w:t>
      </w:r>
    </w:p>
    <w:p>
      <w:pPr>
        <w:spacing w:after="120" w:line="276"/>
        <w:jc w:val="both"/>
      </w:pPr>
      <w:r>
        <w:rPr>
          <w:rFonts w:ascii="Barlow Semi Condensed" w:cs="Barlow Semi Condensed" w:eastAsia="Barlow Semi Condensed" w:hAnsi="Barlow Semi Condensed"/>
          <w:sz w:val="24"/>
          <w:szCs w:val="24"/>
        </w:rPr>
        <w:t xml:space="preserve">I rapporti bilaterali fra Italia e Turchia nel periodo si iscrivono in una relazione di lunga durata, fondata su secolari legami storici e su una comune identità mediterranea, Esteri (https://ambankara.esteri.it/it/italia-e-turchia/) e su un dato strutturale che le fonti ufficiali italiane sottolineano: la collettività italiana in Turchia, che ha origine medievale ed è definita dalla stessa diplomazia italiana «la più antica colonia italiana al mondo», costituita dagli «Italiani del Levante» Cespi (https://www.cespi.it/sites/default/files/osservatori/allegati/apr._2_marsili_italia-turchia.pdf) insediati principalmente a Istanbul e a Smirne (così l'approfondimento del Cespi n. 2/giugno 2019 sui rapporti bilaterali Italia-Turchia). La presenza istituzionale italiana in Turchia si articolava — e si articola — in un'ambasciata ad Ankara, un consolato generale a Istanbul e un consolato a Smirne, oltre all'Istituto italiano di cultura di Istanbul. Wikipedia (https://it.wikipedia.org/wiki/Relazioni_bilaterali_tra_Italia_e_Turchia) Un elemento di continuità patrimoniale, ricordato dalla pubblicistica diplomatica, è la proprietà italiana dello storico edificio di Istanbul rivendicato nel 1918 dal conte Carlo Sforza, alto commissario italiano per l'attuazione dell'armistizio con l'Impero ottomano. Cespi (https://www.cespi.it/sites/default/files/osservatori/allegati/apr._2_marsili_italia-turchia.pdf)</w:t>
      </w:r>
    </w:p>
    <w:p>
      <w:pPr>
        <w:spacing w:after="120" w:line="276"/>
        <w:jc w:val="both"/>
      </w:pPr>
      <w:r>
        <w:rPr>
          <w:rFonts w:ascii="Barlow Semi Condensed" w:cs="Barlow Semi Condensed" w:eastAsia="Barlow Semi Condensed" w:hAnsi="Barlow Semi Condensed"/>
          <w:sz w:val="24"/>
          <w:szCs w:val="24"/>
        </w:rPr>
        <w:t xml:space="preserve">Sul piano economico e commerciale, la documentazione telematicamente accessibile per gli anni 1969-1975 è lacunosa e non consente di fornire cifre precise sull'interscambio del periodo: si registra un esito parzialmente negativo, la cui sede di chiusura è nella documentazione dell'Istituto nazionale per il commercio estero e negli annuari statistici del commercio con l'estero dell'ISTAT per gli anni considerati, nonché nell'Archivio Storico Diplomatico della Farnesina, serie affari economici. È accertato il quadro pattizio di fondo: i rapporti commerciali bilaterali erano regolati dal Trattato di commercio e navigazione del 29 dicembre 1936 con Protocollo aggiuntivo, in vigore dal 1° gennaio 1937 fra la Repubblica di Turchia e la Repubblica italiana, Gazzetta Ufficiale (https://www.gazzettaufficiale.it/atto/vediMenuHTML?atto.dataPubblicazioneGazzetta=1993-10-15&amp;atto.codiceRedazionale=093A5659&amp;tipoSerie=serie_generale&amp;tipoVigenza=originario) trattato che sarebbe stato modificato solo nel 1992 (con scambio di lettere del 18 settembre – 26 ottobre 1992, per l'abolizione degli articoli da 1 a 5), in considerazione dell'evoluzione della politica commerciale comunitaria. Gazzetta Ufficiale (https://www.gazzettaufficiale.it/atto/vediMenuHTML?atto.dataPubblicazioneGazzetta=1993-10-15&amp;atto.codiceRedazionale=093A5659&amp;tipoSerie=serie_generale&amp;tipoVigenza=originario) Il fatto che tale trattato del 1936 fosse ancora in vigore nel periodo considerato indica che il quadro giuridico bilaterale degli scambi era, negli anni di Moro, quello risalente e non aggiornato, mentre la dimensione comunitaria dei rapporti commerciali con la Turchia era assorbita dall'associazione CEE.</w:t>
      </w:r>
    </w:p>
    <w:p>
      <w:pPr>
        <w:spacing w:after="120" w:line="276"/>
        <w:jc w:val="both"/>
      </w:pPr>
      <w:r>
        <w:rPr>
          <w:rFonts w:ascii="Barlow Semi Condensed" w:cs="Barlow Semi Condensed" w:eastAsia="Barlow Semi Condensed" w:hAnsi="Barlow Semi Condensed"/>
          <w:sz w:val="24"/>
          <w:szCs w:val="24"/>
        </w:rPr>
        <w:t xml:space="preserve">Quanto alle visite ministeriali reciproche, e in particolare a eventuali visite di Moro in Turchia o di ministri turchi in Italia nel periodo, non si sono reperite fonti primarie che le documentino: la fonte diplomatica italiana consultata (Cespi) data le prime visite di Stato di alto livello reciproche ad epoca assai posteriore (le visite dei presidenti Ciampi ad Ankara e Istanbul nel novembre 2005 e Napolitano ad Ankara e Smirne nel novembre 2009 Cespi (https://www.cespi.it/sites/default/files/osservatori/allegati/apr._2_marsili_italia-turchia.pdf) sono presentate come culmine dei rapporti bilaterali), il che, per differenza, suggerisce che negli anni Settanta i contatti fossero di rango prevalentemente tecnico e comunitario più che di vertice bilaterale. Si tratta di un esito negativo, con sede di chiusura nell'Archivio Storico Diplomatico e negli archivi del cerimoniale della Farnesina. Sulla questione della manodopera turca in Europa, il Protocollo addizionale del 1970 prevedeva, come si è visto, la libera circolazione dei lavoratori come traguardo della fase transitoria; ma la posizione italiana specifica su tale profilo non è documentata da fonti primarie reperite, e l'emigrazione turca del periodo era diretta prevalentemente verso la Repubblica Federale di Germania, non verso l'Italia, Paese esso stesso di emigrazione. Data la relativa esiguità del materiale primario, il capitolo è tenuto misurato.</w:t>
      </w:r>
    </w:p>
    <w:p>
      <w:pPr>
        <w:pStyle w:val="Heading3"/>
        <w:spacing w:after="80" w:before="160"/>
      </w:pPr>
      <w:r>
        <w:rPr>
          <w:rFonts w:ascii="Barlow Semi Condensed" w:cs="Barlow Semi Condensed" w:eastAsia="Barlow Semi Condensed" w:hAnsi="Barlow Semi Condensed"/>
          <w:sz w:val="24"/>
          <w:szCs w:val="24"/>
        </w:rPr>
        <w:t xml:space="preserve">Capitolo VII — La questione degli oppiacei</w:t>
      </w:r>
    </w:p>
    <w:p>
      <w:pPr>
        <w:spacing w:after="120" w:line="276"/>
        <w:jc w:val="both"/>
      </w:pPr>
      <w:r>
        <w:rPr>
          <w:rFonts w:ascii="Barlow Semi Condensed" w:cs="Barlow Semi Condensed" w:eastAsia="Barlow Semi Condensed" w:hAnsi="Barlow Semi Condensed"/>
          <w:sz w:val="24"/>
          <w:szCs w:val="24"/>
        </w:rPr>
        <w:t xml:space="preserve">La questione degli oppiacei costituisce, nel periodo considerato, il dossier turco più densamente documentato dalle fonti desecretate statunitensi, e presenta una rilevanza indiretta ma reale per l'Italia. Il governo Ecevit decise il 1° luglio 1974 di revocare il divieto di coltivazione del papavero da oppio che era stato introdotto nel giugno 1971 dal governo di Nihat Erim sotto forte pressione statunitense, esercitata personalmente dal presidente Nixon. state (https://history.state.gov/historicaldocuments/frus1969-76v30/d208) La revoca fu formalizzata con il Decreto n. 7522 del luglio 1974, ResearchGate (https://www.researchgate.net/publication/262013273_A_Very_Gradual_Suppression_A_History_of_Turkish_Opium_Controls_1933-1974) che riautorizzava la coltivazione in sei province e in parte della provincia di Konya. La decisione è documentata in presa diretta dai Foreign Relations of the United States: il telegramma 5213 dell'ambasciata ad Ankara del 2 luglio 1974 (documento 204 del volume XXX) riferisce dell'incontro notturno dell'ambasciatore con Ecevit, il quale confermò che il Consiglio dei ministri aveva approvato il decreto e annunciò che avrebbe chiesto «alle Nazioni Unite consiglio e assistenza tecnica» e che «tutte le misure di controllo raccomandate sarebbero state adottate». state (https://history.state.gov/historicaldocuments/frus1969-76v30/d204) Già il telegramma 1310 del 21 febbraio 1974 (documento 154 del volume E-3) aveva riferito di un lungo colloquio con Ecevit in cui l'ambasciatore, su istruzione di Washington, aveva espresso «strong USG hope that Turkey would not lift poppy ban». state (https://history.state.gov/historicaldocuments/frus1969-76ve03/d154) La reazione di Washington è tracciabile passo per passo: il memorandum di Henry Kissinger al presidente Ford (documento 208 del volume XXX) qualificava la questione come richiedente una decisione presidenziale, ricordando che l'oppio turco era stato «la principale fonte dell'eroina contrabbandata negli Stati Uniti» e che dal divieto del 1971 vi era stato «un drammatico declino della tossicodipendenza da eroina negli Stati Uniti»; state (https://history.state.gov/historicaldocuments/frus1969-76v30/d208) il paper del Gruppo interdipartimentale per l'Europa del Consiglio di sicurezza nazionale (documento 206) analizzava le opzioni di risposta; il National Security Decision Memorandum 267 del 23 agosto 1974 (documento 209 del volume XXX, replicato come documento 164 del volume E-3) impartiva le istruzioni operative, fra cui l'avvio di discussioni con il governo turco e le agenzie delle Nazioni Unite per prevenire il contrabbando. state (https://history.state.gov/historicaldocuments/frus1969-76v30/d209) state (https://history.state.gov/historicaldocuments/frus1969-76ve03/d164)</w:t>
      </w:r>
    </w:p>
    <w:p>
      <w:pPr>
        <w:spacing w:after="120" w:line="276"/>
        <w:jc w:val="both"/>
      </w:pPr>
      <w:r>
        <w:rPr>
          <w:rFonts w:ascii="Barlow Semi Condensed" w:cs="Barlow Semi Condensed" w:eastAsia="Barlow Semi Condensed" w:hAnsi="Barlow Semi Condensed"/>
          <w:sz w:val="24"/>
          <w:szCs w:val="24"/>
        </w:rPr>
        <w:t xml:space="preserve">Il collegamento con la French Connection e con le rotte balcaniche è storiograficamente accertato. La French Connection — la rete che rifiniva a Marsiglia, nei laboratori corsi diretti da esponenti dell'Unione Corse, la morfina base di provenienza anatolica per esportarla come eroina ad alta purezza verso gli Stati Uniti Grokipedia (https://grokipedia.com/page/Turkish_mafia) — dipendeva in misura maggioritaria dall'oppio turco, e il divieto turco del 1971, Discover Walks (https://www.discoverwalks.com/blog/paris/all-about-the-french-connection/) unito allo smantellamento della rete corsa nei primi anni Settanta (con i sequestri del 1972), ne segnò la fine. Il ruolo turco nel traffico si sarebbe poi ristrutturato lungo la cosiddetta rotta balcanica, corridoio terrestre che dagli anni successivi convogliò gli oppiacei dall'Asia sud-occidentale verso l'Europa attraverso la Turchia e i Balcani, Wikipedia (https://en.wikipedia.org/wiki/Balkan_Route) con l'Italia fra i punti di arrivo, in parte via mare mediante traghetti. La rilevanza per l'Italia — Paese di transito e di consumo dell'eroina di provenienza turca e mediorientale — è dunque strutturalmente documentata sul piano criminologico.</w:t>
      </w:r>
    </w:p>
    <w:p>
      <w:pPr>
        <w:spacing w:after="120" w:line="276"/>
        <w:jc w:val="both"/>
      </w:pPr>
      <w:r>
        <w:rPr>
          <w:rFonts w:ascii="Barlow Semi Condensed" w:cs="Barlow Semi Condensed" w:eastAsia="Barlow Semi Condensed" w:hAnsi="Barlow Semi Condensed"/>
          <w:sz w:val="24"/>
          <w:szCs w:val="24"/>
        </w:rPr>
        <w:t xml:space="preserve">Sul piano diplomatico, tuttavia, occorre segnalare un esito negativo circostanziato: non si sono reperite fonti primarie che documentino uno specifico coinvolgimento della Farnesina di Moro nella vicenda della revoca del divieto turco del 1974, né una specifica posizione italiana in sede di Nazioni Unite e di Commissione stupefacenti su quel dossier. La documentazione statunitense mostra un negoziato prevalentemente bilaterale turco-americano, con il ricorso turco alle Nazioni Unite come garante tecnico; l'Italia non compare, nei documenti reperiti, fra gli attori diplomatici della vicenda. La sede di chiusura è duplice: l'Archivio Storico Diplomatico della Farnesina, serie affari sociali e stupefacenti, e gli archivi della Commissione stupefacenti delle Nazioni Unite a Vienna. Va evitata, in particolare, l'inferenza indebita che, poiché l'Italia era Paese di consumo, essa avesse necessariamente assunto una posizione diplomatica attiva: la contemporaneità del problema del consumo interno con la vicenda turca non equivale a un nesso diplomatico documentato.</w:t>
      </w:r>
    </w:p>
    <w:p>
      <w:pPr>
        <w:pStyle w:val="Heading3"/>
        <w:spacing w:after="80" w:before="160"/>
      </w:pPr>
      <w:r>
        <w:rPr>
          <w:rFonts w:ascii="Barlow Semi Condensed" w:cs="Barlow Semi Condensed" w:eastAsia="Barlow Semi Condensed" w:hAnsi="Barlow Semi Condensed"/>
          <w:sz w:val="24"/>
          <w:szCs w:val="24"/>
        </w:rPr>
        <w:t xml:space="preserve">Capitolo VIII — Il Patriarcato ecumenico e la chiusura del Seminario di Halki</w:t>
      </w:r>
    </w:p>
    <w:p>
      <w:pPr>
        <w:spacing w:after="120" w:line="276"/>
        <w:jc w:val="both"/>
      </w:pPr>
      <w:r>
        <w:rPr>
          <w:rFonts w:ascii="Barlow Semi Condensed" w:cs="Barlow Semi Condensed" w:eastAsia="Barlow Semi Condensed" w:hAnsi="Barlow Semi Condensed"/>
          <w:sz w:val="24"/>
          <w:szCs w:val="24"/>
        </w:rPr>
        <w:t xml:space="preserve">La chiusura della Scuola teologica di Halki, sull'isola di Heybeliada nel Mar di Marmara, avvenne nel 1971 durante il primo mandato ministeriale di Moro e costituisce lo snodo più rilevante per la condizione delle minoranze cristiane di Turchia nel periodo. La scuola, operativa dal 1844 sui terreni del monastero della Santissima Trinità (Hagia Triada), Wikipedia (https://en.wikipedia.org/wiki/Halki_seminary) aveva formato nel corso della sua storia dodici patriarchi ecumenici; Asia News (https://www.asianews.it/notizie-it/Halki-e-la-chiesa-biblioteca-di-Adana:-il-futuro-(incerto)-del-patrimonio-cristiano-turco-65440.html) la testata Türkiye Today (2026) precisa che «over 127 years of operation, it produced approximately 990 graduates, among them 12 Ecumenical Patriarchs, including Bartholomew I himself, as well as the heads of the churches of Alexandria, Antioch, Athens, and Albania», Türkiye Today (https://www.turkiyetoday.com/nation/turkiye-plans-to-reopen-halki-seminary-as-university-after-more-than-50-years-3222222) mentre l'Arcidiocesi greco-ortodossa d'America (GOARCH) fornisce una stima divergente e più ampia — «330 bishops, one exarch, five archbishops, and seventeen patriarchs» Greek Orthodox Archdiocese of America (https://www.goarch.org/-/he-halki) — divergenza numerica che qui si riporta anziché risolvere. Era, in ogni caso, l'unica istituzione educativa greco-ortodossa in Turchia deputata alla formazione della leadership religiosa. La Fiaccola (https://www.lafiaccola.it/wp/alla-conferenza-dellosce-il-patriarcato-ecumenico-e-la-minoranza-greca-in-turchia/) La chiusura fu conseguenza di una sentenza della Corte costituzionale turca Internazionale (https://www.internazionale.it/ultime-notizie-reuters/2026/06/21/erdogan-orders-talks-to-reopen-orthodox-christian-seminary-in-turkey-a-focus-for-trump) che, in attuazione del principio secondo cui gli istituti privati di istruzione superiore dovevano essere affiliati alle università statali — requisito respinto dal Patriarcato Internazionale (https://www.internazionale.it/ultime-notizie-reuters/2026/06/21/erdogan-orders-talks-to-reopen-orthodox-christian-seminary-in-turkey-a-focus-for-trump) —, forzò di fatto la cessazione dell'attività accademica. Le fonti divergono lievemente sulla qualificazione dell'atto: alcune parlano di «decreto del parlamento turco», SettimanaNews (https://www.settimananews.it/chiesa/turchia-bartolomeo-fiducioso-sulla-riapertura-di-halki/) altre di «sentenza della Corte Costituzionale», Asia News (https://www.asianews.it/notizie-it/Halki-e-la-chiesa-biblioteca-di-Adana:-il-futuro-(incerto)-del-patrimonio-cristiano-turco-65440.html) altre ancora di chiusura «dai militari»; Il Sole 24 ORE (https://www.ilsole24ore.com/art/notizie/2012-07-11/turchi-vogliono-chiudere-monastero-192229.shtml?uuid=AbqTFS6F) la divergenza va riportata anziché risolta silenziosamente, fermo restando l'anno 1971 e la motivazione formale della legge sull'istruzione superiore privata.</w:t>
      </w:r>
    </w:p>
    <w:p>
      <w:pPr>
        <w:spacing w:after="120" w:line="276"/>
        <w:jc w:val="both"/>
      </w:pPr>
      <w:r>
        <w:rPr>
          <w:rFonts w:ascii="Barlow Semi Condensed" w:cs="Barlow Semi Condensed" w:eastAsia="Barlow Semi Condensed" w:hAnsi="Barlow Semi Condensed"/>
          <w:sz w:val="24"/>
          <w:szCs w:val="24"/>
        </w:rPr>
        <w:t xml:space="preserve">Il contesto ecclesiale è segnato dalla morte del patriarca ecumenico Atenagora I, avvenuta a Istanbul. Le fonti presentano una piccola ma reale divergenza sulla data e circostanza: la Wikipedia inglese indica che egli «was hospitalized on 6 July 1972, for a broken hip, but died from kidney failure in Istanbul the following day at the age of 86», Wikipedia (https://en.wikipedia.org/wiki/Athenagoras_I_of_Constantinople) dunque il 7 luglio 1972 (data recepita anche dal martirologio del Monastero di Bose), e fu sepolto nel cimitero della Chiesa di Santa Maria della Fonte a Balıklı; Wikipedia (https://en.wikipedia.org/wiki/Athenagoras_I_of_Constantinople) la fonte accademica spagnola di Ángel Santos, S.J. («Atenágoras, Patriarca Ecuménico y unionista», Universidad Pontificia de Salamanca) colloca invece il decesso «a últimas horas de la tarde del 6 de julio (1972)» nell'ospedale di Balıklı; UPSA (https://summa.upsa.es/high.raw?id=0000001470&amp;name=00000001.original.pdf) la divergenza fra il 6 e il 7 luglio va riportata. Atenagora era stato il protagonista, con Paolo VI, del disgelo ecumenico avviato con l'incontro di Gerusalemme del 5 gennaio 1964 Arche (https://fraternita.arche.it/testimoni/atenagora-i/) e culminato nella Dichiarazione comune del 7 dicembre 1965 che revocò le reciproche scomuniche del 1054. Thearda (https://www.thearda.com/us-religion/history/timelines/entry?etype=5&amp;eid=141) Wikipedia (https://en.wikipedia.org/wiki/Athenagoras_I_of_Constantinople) Gli succedette Dimitrios I, che le fonti indicano essere stato negli ultimi anni il collaboratore di fiducia dell'anziano Atenagora. La condizione della minoranza greco-ortodossa di Istanbul, già gravemente compromessa dal pogrom del 1955 e dalle espulsioni del 1964, si aggravò ulteriormente con la chiusura di Halki, che privava il Patriarcato del proprio vivaio di clero. Un vincolo ulteriore, imposto dalla legislazione turca in attuazione del Trattato di Losanna, è il requisito della cittadinanza turca per il patriarca ecumenico e per i membri del Santo Sinodo. La Fiaccola (https://www.lafiaccola.it/wp/alla-conferenza-dellosce-il-patriarcato-ecumenico-e-la-minoranza-greca-in-turchia/)</w:t>
      </w:r>
    </w:p>
    <w:p>
      <w:pPr>
        <w:spacing w:after="120" w:line="276"/>
        <w:jc w:val="both"/>
      </w:pPr>
      <w:r>
        <w:rPr>
          <w:rFonts w:ascii="Barlow Semi Condensed" w:cs="Barlow Semi Condensed" w:eastAsia="Barlow Semi Condensed" w:hAnsi="Barlow Semi Condensed"/>
          <w:sz w:val="24"/>
          <w:szCs w:val="24"/>
        </w:rPr>
        <w:t xml:space="preserve">Sulla questione cruciale dell'obiettivo di ricerca — se la chiusura di Halki, avvenuta durante il primo mandato di Moro, abbia prodotto reazioni diplomatiche italiane o vaticane documentate — si registra un esito negativo. Non si sono reperite fonti primarie che attestino una reazione ufficiale della Santa Sede o del governo italiano alla chiusura del 1971. È accertato il quadro dei rapporti fra Paolo VI e il Patriarcato in quegli anni, improntato al disgelo ecumenico; ma il nesso specifico fra tale disgelo e una eventuale presa di posizione sulla chiusura di Halki non è documentato dalle fonti reperite. La sede di chiusura è duplice: l'Archivio Apostolico Vaticano e l'archivio della Segreteria di Stato per il pontificato di Paolo VI, e l'archivio del Patriarcato ecumenico. Va evitata l'inferenza che l'esistenza del dialogo ecumenico implichi di per sé una reazione diplomatica documentata alla chiusura della scuola.</w:t>
      </w:r>
    </w:p>
    <w:p>
      <w:pPr>
        <w:pStyle w:val="Heading3"/>
        <w:spacing w:after="80" w:before="160"/>
      </w:pPr>
      <w:r>
        <w:rPr>
          <w:rFonts w:ascii="Barlow Semi Condensed" w:cs="Barlow Semi Condensed" w:eastAsia="Barlow Semi Condensed" w:hAnsi="Barlow Semi Condensed"/>
          <w:sz w:val="24"/>
          <w:szCs w:val="24"/>
        </w:rPr>
        <w:t xml:space="preserve">Capitolo IX — Le comunità cattoliche di Turchia e la Santa Sede</w:t>
      </w:r>
    </w:p>
    <w:p>
      <w:pPr>
        <w:spacing w:after="120" w:line="276"/>
        <w:jc w:val="both"/>
      </w:pPr>
      <w:r>
        <w:rPr>
          <w:rFonts w:ascii="Barlow Semi Condensed" w:cs="Barlow Semi Condensed" w:eastAsia="Barlow Semi Condensed" w:hAnsi="Barlow Semi Condensed"/>
          <w:sz w:val="24"/>
          <w:szCs w:val="24"/>
        </w:rPr>
        <w:t xml:space="preserve">Le comunità cattoliche di Turchia costituivano e costituiscono una minoranza minima all'interno di un Paese a stragrande maggioranza musulmana. La struttura ecclesiastica cattolica è articolata su più riti: la Chiesa latina comprende il Vicariato apostolico di Istanbul, l'Arcidiocesi di Smirne e il Vicariato apostolico dell'Anatolia SettimanaNews (https://www.settimananews.it/ecumenismo-dialogo/chiesa-latina-turchia-dal-dentro/) (quest'ultimo eretto nella forma attuale nel 1990, con il decreto Quo melius della Congregazione per le Chiese Orientali del 30 novembre 1990); Wikipedia (https://it.wikipedia.org/wiki/Vicariato_apostolico_di_Istanbul) ad essa si affiancano le circoscrizioni di rito orientale, ovvero l'Arcieparchia armena cattolica di Istanbul, la comunità caldea (storicamente riferita a Diyarbakır) e quella siro-cattolica, oltre a un Esarcato apostolico per i cattolici di rito bizantino. La consistenza numerica complessiva è dell'ordine di alcune decine di migliaia di fedeli. Le stime, che le fonti presentano con qualche divergenza da riportare, oscillano attorno ai sessantamila cattolici: l'agenzia AgenSIR (27 novembre 2025) indica che «i cattolici presenti nel Paese sono circa 60.000, equivalenti allo 0,07% della popolazione, composta prevalentemente da musulmani», SettimanaNews (https://www.settimananews.it/chiesa/cattolici-in-turchia/) SIR (https://www.agensir.it/chiesa/2025/11/27/le-comunita-cristiane-in-turchia-tra-storia-e-attualita/) mentre una stima più ridotta — 25-30.000, meno dello 0,04% SIR (https://www.agensir.it/quotidiano/2026/4/9/turchia-rapporto-cespi-chiese-scuole-e-proprieta-sono-le-sfide-quotidiane-dei-cattolici-e-dei-cristiani-nel-paese/) — è ripresa da AgenSIR il 9 aprile 2026 su base di un rapporto Cespi; la divergenza va riportata. Nel dettaglio, il Vicariato apostolico di Istanbul è indicato in circa quindicimila-diciassettemila battezzati, l'Arcidiocesi di Smirne in poco più di milletrecento fedeli (una fonte indica 1.350), il Vicariato dell'Anatolia in circa millecinquecento; per i riti orientali, l'arcidiocesi armena cattolica di Istanbul è stimata in 3.670 fedeli, i caldei in 5.993, i siri cattolici in 2.155 Fratesole (https://turchia.fratesole.com/approfondimenti/i-cristiani-nellimpero-ottomano-e-nella-turchia-moderna/) (fonte: turchia.fratesole.com). Una fonte vaticana recente distingue, per il solo vicariato latino di Istanbul, «poco più di diecimila fedeli locali» e «circa trentamila fedeli stranieri, rifugiati o migranti», Vatican News (https://www.vaticannews.va/it/chiesa/news/2025-11/turchia-un-paese-che-e-ponte-mosaico-diamante.html) segnalando così il carattere prevalentemente non autoctono della comunità.</w:t>
      </w:r>
    </w:p>
    <w:p>
      <w:pPr>
        <w:spacing w:after="120" w:line="276"/>
        <w:jc w:val="both"/>
      </w:pPr>
      <w:r>
        <w:rPr>
          <w:rFonts w:ascii="Barlow Semi Condensed" w:cs="Barlow Semi Condensed" w:eastAsia="Barlow Semi Condensed" w:hAnsi="Barlow Semi Condensed"/>
          <w:sz w:val="24"/>
          <w:szCs w:val="24"/>
        </w:rPr>
        <w:t xml:space="preserve">Lo statuto giuridico delle Chiese cristiane nella Turchia laica è definito, in senso restrittivo, dal Trattato di Losanna del 24 luglio 1923 e dalla legislazione sulle fondazioni. I governi turchi hanno costantemente interpretato gli articoli del Trattato relativi alle minoranze nel senso di riconoscere come minoranze religiose soltanto quelle ufficialmente riconosciute al tempo dell'Impero ottomano — greco-ortodossi, armeni ed ebrei —, con la conseguenza che le comunità caldea, siro-cattolica, siro-ortodossa, latina e protestante sono considerate «straniere» e dunque non tutelate dalle disposizioni di Losanna. Fratesole (https://turchia.fratesole.com/approfondimenti/i-cristiani-nellimpero-ottomano-e-nella-turchia-moderna/) Tale interpretazione restrittiva è stata contestata dalle comunità escluse e da organismi internazionali, fra cui la Commissione delle Nazioni Unite per i diritti dell'uomo. Fratesole (https://turchia.fratesole.com/approfondimenti/i-cristiani-nellimpero-ottomano-e-nella-turchia-moderna/) La questione armena va trattata, entro il perimetro assegnato, unicamente per quanto attiene alla condizione della comunità armena cattolica di Turchia: essa condivideva con le altre minoranze cattoliche la piccolezza numerica e la fragilità statutaria, pur beneficiando — in quanto armena — del riconoscimento formale di Losanna sul versante della minoranza etnico-religiosa, distinto però dal rito cattolico.</w:t>
      </w:r>
    </w:p>
    <w:p>
      <w:pPr>
        <w:spacing w:after="120" w:line="276"/>
        <w:jc w:val="both"/>
      </w:pPr>
      <w:r>
        <w:rPr>
          <w:rFonts w:ascii="Barlow Semi Condensed" w:cs="Barlow Semi Condensed" w:eastAsia="Barlow Semi Condensed" w:hAnsi="Barlow Semi Condensed"/>
          <w:sz w:val="24"/>
          <w:szCs w:val="24"/>
        </w:rPr>
        <w:t xml:space="preserve">Le relazioni diplomatiche fra Santa Sede e Turchia furono istituite nel 1960 con l'erezione dell'Internunziatura apostolica di Turchia, avvenuta il 25 gennaio 1960; l'Internunziatura fu elevata al rango di Nunziatura apostolica Cathopedia (https://it.cathopedia.org/wiki/Delegato_apostolico_in_Turchia) da Paolo VI il 30 agosto 1966 con il breve Optimo sane. Cathopedia (https://it.cathopedia.org/wiki/Delegato_apostolico_in_Turchia) Anteriormente, la rappresentanza pontificia era assicurata da un Delegato apostolico, figura non ufficialmente diplomatica ma trattata alla stregua di diplomatico. East Journal (https://www.eastjournal.net/archives/145757) È a questo punto che si colloca l'elemento di memoria condivisa di maggior rilievo: Angelo Giuseppe Roncalli, futuro Giovanni XXIII, fu delegato apostolico in Turchia — e amministratore del Vicariato apostolico di Istanbul — dal 1935 al 1944 (le fonti oscillano fra il 1934 e il 1935 come anno d'inizio effettivo; la Cathopedia indica la nomina al 12 gennaio 1935 e la conclusione al 23 dicembre 1944, quando Roncalli fu nominato nunzio apostolico in Francia). Cathopedia (https://it.cathopedia.org/wiki/Delegato_apostolico_in_Turchia) Roncalli operò in una comunità cattolica che al suo arrivo contava circa trentamila fedeli dei vari riti e che andò via via diminuendo; Terrasanta (https://www.terrasanta.net/2014/03/il-decennio-turco-di-monsignor-roncalli/) la sua figura è unanimemente ricordata, dalle fonti italiane e turche, come «ponte» fra mondi e come radice dell'amicizia che nel 1960 avrebbe condotto alle relazioni diplomatiche. Va segnalato, come dato archivistico rilevante, che la documentazione delle relazioni Santa Sede-Turchia è conservata in Segreteria di Stato prevalentemente in italiano e francese, e che studiosi come Rinaldo Marmara ne hanno avviato la trascrizione e catalogazione. Istanbulofm (https://www.istanbulofm.org/2021/11/le-relazioni-diplomatiche-turchia-santa.html) Non si sono reperite, nel perimetro della ricerca, tracce di un coinvolgimento italiano nella condizione delle minoranze cristiane di Turchia negli anni di Moro: la memoria roncalliana appartiene alla Santa Sede, non alla diplomazia della Repubblica.</w:t>
      </w:r>
    </w:p>
    <w:p>
      <w:pPr>
        <w:pStyle w:val="Heading3"/>
        <w:spacing w:after="80" w:before="160"/>
      </w:pPr>
      <w:r>
        <w:rPr>
          <w:rFonts w:ascii="Barlow Semi Condensed" w:cs="Barlow Semi Condensed" w:eastAsia="Barlow Semi Condensed" w:hAnsi="Barlow Semi Condensed"/>
          <w:sz w:val="24"/>
          <w:szCs w:val="24"/>
        </w:rPr>
        <w:t xml:space="preserve">Capitolo X — L'Opus Dei in Turchia</w:t>
      </w:r>
    </w:p>
    <w:p>
      <w:pPr>
        <w:spacing w:after="120" w:line="276"/>
        <w:jc w:val="both"/>
      </w:pPr>
      <w:r>
        <w:rPr>
          <w:rFonts w:ascii="Barlow Semi Condensed" w:cs="Barlow Semi Condensed" w:eastAsia="Barlow Semi Condensed" w:hAnsi="Barlow Semi Condensed"/>
          <w:sz w:val="24"/>
          <w:szCs w:val="24"/>
        </w:rPr>
        <w:t xml:space="preserve">L'ottavo obiettivo di ricerca chiedeva di verificare se l'Opus Dei abbia o abbia avuto presenza in Turchia, interrogando l'elenco ufficiale dell'ente delle date di inizio del lavoro stabile nei vari Paesi e l'elenco delle circoscrizioni regionali. La previsione, dichiarata in anticipo perché il suo esito è esso stesso un risultato, era che la Turchia non vi figurasse, come non vi figurano la Grecia e Cipro. La ricognizione conferma la previsione, con la precisazione che l'accertamento è parzialmente indiretto e ne va dichiarata la ragione. La fonte ufficiale dell'ente (opusdei.org, pagina «La storia dell'Opus Dei») attesta verbatim che «l'Opus Dei fu fondato nel 1928 in Spagna. È presente in 68 Paesi», Opus Dei (https://opusdei.org/it-it/article/storia/) Opus Dei (https://opusdei.org/it-it/page/lopus-dei/) e la pagina istituzionale rinvia a un prospetto delle «date di inizio del lavoro stabile dell'Opus Dei nei vari Paesi»; la Wikipedia stima i membri in 85.000 (2025). Wikipedia (https://en.wikipedia.org/wiki/Opus_Dei) La consultazione telematica della pagina di storia dell'ente non ha restituito l'elenco analitico completo dei 68 Paesi con le rispettive date, per limiti di estrazione del contenuto; ma la cifra di 68 Paesi, incrociata con la fisionomia geografica dell'espansione dell'ente e con l'assenza — già accertata nelle ricognizioni greca e cipriota — di Grecia e Cipro dal medesimo elenco, rende la Turchia assente in modo altamente probabile. La sede di chiusura definitiva è la consultazione integrale del prospetto ufficiale delle date di inizio del lavoro stabile e dell'elenco delle circoscrizioni regionali (delegazioni e regioni) dell'ente.</w:t>
      </w:r>
    </w:p>
    <w:p>
      <w:pPr>
        <w:spacing w:after="120" w:line="276"/>
        <w:jc w:val="both"/>
      </w:pPr>
      <w:r>
        <w:rPr>
          <w:rFonts w:ascii="Barlow Semi Condensed" w:cs="Barlow Semi Condensed" w:eastAsia="Barlow Semi Condensed" w:hAnsi="Barlow Semi Condensed"/>
          <w:sz w:val="24"/>
          <w:szCs w:val="24"/>
        </w:rPr>
        <w:t xml:space="preserve">Non si sono reperite opere educative dell'Opus Dei in Turchia, né membri turchi documentati come tali, né circoscrizioni regionali dell'ente comprendenti la Turchia. Le uniche occorrenze del binomio «Opus Dei» e «Turchia» reperite nelle fonti sono di natura affatto diversa e non provano una presenza dell'ente nel Paese: da un lato una testimonianza, pubblicata dall'ente stesso, di studenti musulmani e di un turco ortodosso ospiti di una residenza universitaria diretta da membri dell'Opus Dei a Strasburgo, in Francia Opus Dei (https://opusdei.org/en/article/two-muslims-and-a-turkish-orthodox-life-in-nideck-residence/) — dunque fuori dalla Turchia; dall'altro un articolo del quotidiano turco Daily Sabah (22 gennaio 2015) che accosta, sul piano puramente comparativo e polemico, la struttura del movimento di Fethullah Gülen a quella dell'Opus Dei Daily Sabah (https://www.dailysabah.com/politics/2015/01/22/gulen-movement-displays-resemblance-to-opus-dei) — accostamento giornalistico che non ha valore probatorio di alcuna presenza istituzionale. Va inoltre segnalato che l'unica connessione recente fra l'ente e la Turchia riguarda la cronaca ecclesiale generale (il viaggio apostolico di Leone XIV in Turchia e Libano del 27 novembre – 2 dicembre 2025, Opus Dei (https://opusdei.org/en-us/article/journey-pope-leo-xiv-turkey-lebanon-2025) riportato anche dal sito dell'Opus Dei), che nulla dice circa un radicamento dell'ente nel Paese.</w:t>
      </w:r>
    </w:p>
    <w:p>
      <w:pPr>
        <w:spacing w:after="120" w:line="276"/>
        <w:jc w:val="both"/>
      </w:pPr>
      <w:r>
        <w:rPr>
          <w:rFonts w:ascii="Barlow Semi Condensed" w:cs="Barlow Semi Condensed" w:eastAsia="Barlow Semi Condensed" w:hAnsi="Barlow Semi Condensed"/>
          <w:sz w:val="24"/>
          <w:szCs w:val="24"/>
        </w:rPr>
        <w:t xml:space="preserve">Se ne trae la conseguenza analitica che consolida il modello già emerso nelle due ricognizioni anteriori. La presenza dell'Opus Dei nei Paesi del Mediterraneo orientale a maggioranza non cattolica è nulla, e la variabile discriminante dell'insediamento non è la natura del regime né la mera presenza di minoranze cattoliche, bensì la compresenza di una maggioranza cattolica e di un ceto universitario e professionale cattolico su cui l'apostolato dell'ente — nato nel 1933 con l'Accademia DYA, rivolta a studenti di Diritto e Architettura — possa radicarsi. Il caso turco è il più probante dei tre, perché somma tre fattori: maggioranza musulmana (attorno al 99 per cento della popolazione), La Nuova Bussola Quotidiana (https://lanuovabq.it/it/istanbul-ha-un-nuovo-vicario-apostolico) laicità dello Stato con controllo statale dell'istruzione religiosa (la stessa legge che chiuse Halki vietava l'istruzione superiore privata non affiliata alle università di Stato, precludendo così anche l'eventuale radicamento educativo di enti confessionali), e minoranza cattolica minima e in larga parte straniera. Il Libano, con inizio del lavoro stabile dell'ente dal 1996, resta il termine di confronto regionale che illumina per contrasto il caso turco: là dove esiste un ceto cattolico autoctono di dimensione significativa l'ente si insedia, là dove non esiste no. Si ribadisce, in conformità ai requisiti di metodo, che l'appartenenza di una persona all'Opus Dei non potrebbe comunque essere trattata come prova di una condotta dell'ente, e che qui non si è in ogni caso reperito alcun membro turco.</w:t>
      </w:r>
    </w:p>
    <w:p>
      <w:pPr>
        <w:pStyle w:val="Heading3"/>
        <w:spacing w:after="80" w:before="160"/>
      </w:pPr>
      <w:r>
        <w:rPr>
          <w:rFonts w:ascii="Barlow Semi Condensed" w:cs="Barlow Semi Condensed" w:eastAsia="Barlow Semi Condensed" w:hAnsi="Barlow Semi Condensed"/>
          <w:sz w:val="24"/>
          <w:szCs w:val="24"/>
        </w:rPr>
        <w:t xml:space="preserve">Capitolo XI — Documenti desecretati e stato degli archivi</w:t>
      </w:r>
    </w:p>
    <w:p>
      <w:pPr>
        <w:spacing w:after="120" w:line="276"/>
        <w:jc w:val="both"/>
      </w:pPr>
      <w:r>
        <w:rPr>
          <w:rFonts w:ascii="Barlow Semi Condensed" w:cs="Barlow Semi Condensed" w:eastAsia="Barlow Semi Condensed" w:hAnsi="Barlow Semi Condensed"/>
          <w:sz w:val="24"/>
          <w:szCs w:val="24"/>
        </w:rPr>
        <w:t xml:space="preserve">Il nono e il decimo obiettivo di ricerca riguardano le fonti desecretate e lo stato di accessibilità degli archivi. La serie Foreign Relations of the United States si è rivelata la fonte primaria desecretata di gran lunga più produttiva per il versante turco del periodo. Il volume XXX del ciclo 1969-1976, dedicato a Grecia, Cipro e Turchia 1973-1976, e il volume E-3 (Documents on Global Issues) contengono la documentazione più densa sulla vicenda degli oppiacei: si sono citati il telegramma 1310 da Ankara del 21 febbraio 1974 sull'incontro con Ecevit a proposito del divieto (documento 154 del volume E-3), il telegramma 5213 del 2 luglio 1974 sulla revoca (documento 204 del volume XXX), il memorandum Kissinger-Ford (documento 208), il paper del Gruppo interdipartimentale per l'Europa del Consiglio di sicurezza nazionale (documento 206) e il National Security Decision Memorandum 267 del 23 agosto 1974 (documento 209 del volume XXX e documento 164 del volume E-3). Per la posizione italiana nell'assetto atlantico sono già stati richiamati i documenti 16 (telegramma da Bruxelles del 4 luglio 1974) e 23 (30 agosto 1974) del volume XXX. Il documento 200 del volume XXX (telegramma da Ankara) documenta le posizioni turche sulla disputa egea, con l'attenzione ai vertici militari e civili turchi, incluso il presidente Fahri Korutürk, ex comandante di flotta. state (https://history.state.gov/historicaldocuments/frus1969-76v30/d200) Riferimenti diretti a colloqui di Moro sulla questione turca non sono emersi nella documentazione FRUS reperita: è un esito negativo, la cui sede di chiusura è la consultazione integrale dei volumi FRUS 1969-1976 pertinenti, inclusi i volumi anteriori per il 1969-1972, e l'indice per nome.</w:t>
      </w:r>
    </w:p>
    <w:p>
      <w:pPr>
        <w:spacing w:after="120" w:line="276"/>
        <w:jc w:val="both"/>
      </w:pPr>
      <w:r>
        <w:rPr>
          <w:rFonts w:ascii="Barlow Semi Condensed" w:cs="Barlow Semi Condensed" w:eastAsia="Barlow Semi Condensed" w:hAnsi="Barlow Semi Condensed"/>
          <w:sz w:val="24"/>
          <w:szCs w:val="24"/>
        </w:rPr>
        <w:t xml:space="preserve">Quanto alla CIA FOIA Electronic Reading Room e alla collezione CREST, la ricerca — che il committente aveva prefigurato con esito atteso negativo per quanto attiene all'Opus Dei — non ha prodotto, nell'ambito telematicamente esplorato, documenti pertinenti su una relazione fra l'Opus Dei e la Turchia, conformemente alla previsione. Sui temi turchi generali (Ecevit, Süleyman Demirel, il memorandum dei generali e il colpo di Stato militare del 12 marzo 1971, l'estrema destra dei Lupi Grigi e il Milliyetçi Hareket Partisi di Alparslan Türkeş) la collezione CREST è in linea di principio la sede appropriata, ma non è stata direttamente interrogata nell'ambito della presente ricognizione per esaurimento del budget di ricerca; se ne segnala l'esplorazione come acquisizione ancora da conseguire, con sede nella Electronic Reading Room della CIA.</w:t>
      </w:r>
    </w:p>
    <w:p>
      <w:pPr>
        <w:spacing w:after="120" w:line="276"/>
        <w:jc w:val="both"/>
      </w:pPr>
      <w:r>
        <w:rPr>
          <w:rFonts w:ascii="Barlow Semi Condensed" w:cs="Barlow Semi Condensed" w:eastAsia="Barlow Semi Condensed" w:hAnsi="Barlow Semi Condensed"/>
          <w:sz w:val="24"/>
          <w:szCs w:val="24"/>
        </w:rPr>
        <w:t xml:space="preserve">Sullo stato degli archivi, il quadro è il seguente. L'Archivio Storico Diplomatico del Ministero degli Affari Esteri italiano, per la serie Turchia 1969-1975, è la sede primaria per la posizione italiana, con l'avvertenza già accertata nelle ricognizioni anteriori che i Telegrammi 1942-1970 risultavano temporaneamente esclusi dalla consultazione per lavori di ristrutturazione. Gli archivi diplomatici turchi del Dışişleri Bakanlığı e gli archivi di Stato della Repubblica di Turchia costituiscono il naturale contraltare, di accessibilità variabile e spesso condizionata. L'archivio del Patriarcato ecumenico è la sede per la vicenda di Halki e per la condizione della minoranza greco-ortodossa. L'Archivio Apostolico Vaticano, per il pontificato di Paolo VI, è la sede per i rapporti Santa Sede-Turchia e per l'eventuale reazione vaticana alla chiusura di Halki; va ricordato che la documentazione delle relazioni Santa Sede-Turchia in Segreteria di Stato è in italiano e francese. L'Archivio Aldo Moro, ripartito fra l'Archivio storico del Senato e l'Archivio Centrale dello Stato, e l'edizione digitale delle carte Moro curata dall'Università di Bologna (aldomorodigitale.unibo.it), sono le sedi per l'azione ministeriale di Moro; l'introduzione di Guido Formigoni a tale edizione conferma la cronologia dei due mandati e ne sottolinea la lunghezza e il rilievo. Unibo (https://aldomorodigitale.unibo.it/additional_resources/?id=141&amp;type=introduction) Per gli atti parlamentari, si ribadisce che i resoconti stenografici della VI legislatura vanno consultati in forma cartacea o nei portali storici, poiché la banca dati del sindacato ispettivo copre soltanto dalla settima legislatura, cioè dal 5 luglio 1976.</w:t>
      </w:r>
    </w:p>
    <w:p>
      <w:pPr>
        <w:pStyle w:val="Heading3"/>
        <w:spacing w:after="80" w:before="160"/>
      </w:pPr>
      <w:r>
        <w:rPr>
          <w:rFonts w:ascii="Barlow Semi Condensed" w:cs="Barlow Semi Condensed" w:eastAsia="Barlow Semi Condensed" w:hAnsi="Barlow Semi Condensed"/>
          <w:sz w:val="24"/>
          <w:szCs w:val="24"/>
        </w:rPr>
        <w:t xml:space="preserve">Capitolo XII — Tavola discorsiva delle acquisizioni documentali necessarie e non conseguite</w:t>
      </w:r>
    </w:p>
    <w:p>
      <w:pPr>
        <w:spacing w:after="120" w:line="276"/>
        <w:jc w:val="both"/>
      </w:pPr>
      <w:r>
        <w:rPr>
          <w:rFonts w:ascii="Barlow Semi Condensed" w:cs="Barlow Semi Condensed" w:eastAsia="Barlow Semi Condensed" w:hAnsi="Barlow Semi Condensed"/>
          <w:sz w:val="24"/>
          <w:szCs w:val="24"/>
        </w:rPr>
        <w:t xml:space="preserve">Si raccolgono qui, ordinate per rendimento atteso decrescente, le acquisizioni documentali necessarie e non conseguite, ciascuna con la sede e la condizione di chiusura, nella convinzione — ribadita in premessa — che l'esito negativo circostanziato sia acquisizione di pieno valore.</w:t>
      </w:r>
    </w:p>
    <w:p>
      <w:pPr>
        <w:spacing w:after="120" w:line="276"/>
        <w:jc w:val="both"/>
      </w:pPr>
      <w:r>
        <w:rPr>
          <w:rFonts w:ascii="Barlow Semi Condensed" w:cs="Barlow Semi Condensed" w:eastAsia="Barlow Semi Condensed" w:hAnsi="Barlow Semi Condensed"/>
          <w:sz w:val="24"/>
          <w:szCs w:val="24"/>
        </w:rPr>
        <w:t xml:space="preserve">La prima e più remunerativa acquisizione mancante è la legge italiana di autorizzazione alla ratifica ed esecuzione del pacchetto di atti dell'associazione CEE-Turchia comprendente il Protocollo addizionale del 23 novembre 1970: ne restano da accertare il numero, la data e i riferimenti di Gazzetta Ufficiale della Repubblica Italiana, nonché l'eventuale dibattito parlamentare della VI legislatura. La sede di chiusura è Normattiva, il portale storico della Camera (sezione «Norme fondamentali e leggi», filtro 1972-1973), la Gazzetta Ufficiale storica per il 1972-1973 e il fascicolo del disegno di legge presso l'Archivio storico del Senato. Il rendimento atteso è massimo perché si tratta di un atto datato, cadente nel mandato di Moro, e di reperibilità in linea di principio agevole una volta superato il blocco all'accesso automatizzato dei portali.</w:t>
      </w:r>
    </w:p>
    <w:p>
      <w:pPr>
        <w:spacing w:after="120" w:line="276"/>
        <w:jc w:val="both"/>
      </w:pPr>
      <w:r>
        <w:rPr>
          <w:rFonts w:ascii="Barlow Semi Condensed" w:cs="Barlow Semi Condensed" w:eastAsia="Barlow Semi Condensed" w:hAnsi="Barlow Semi Condensed"/>
          <w:sz w:val="24"/>
          <w:szCs w:val="24"/>
        </w:rPr>
        <w:t xml:space="preserve">La seconda acquisizione mancante è l'identità del plenipotenziario che firmò per la Repubblica italiana il Protocollo addizionale del 23 novembre 1970: se sia stato Aldo Moro, ministro degli Esteri in carica a quella data, o un sottosegretario o plenipotenziario delegato. La sede di chiusura è il testo integrale dell'Atto finale in EUR-Lex CELEX 21970A1123(01), sezione «Per la Repubblica italiana», da consultarsi manualmente, e la Gazzetta ufficiale delle Comunità europee L 293 del 29 dicembre 1972, pagine 4-56. Il rendimento atteso è alto perché il dato è puntuale e dirimente per la triangolazione fra Moro e la Turchia, ed è già circoscritto a una fonte identificata.</w:t>
      </w:r>
    </w:p>
    <w:p>
      <w:pPr>
        <w:spacing w:after="120" w:line="276"/>
        <w:jc w:val="both"/>
      </w:pPr>
      <w:r>
        <w:rPr>
          <w:rFonts w:ascii="Barlow Semi Condensed" w:cs="Barlow Semi Condensed" w:eastAsia="Barlow Semi Condensed" w:hAnsi="Barlow Semi Condensed"/>
          <w:sz w:val="24"/>
          <w:szCs w:val="24"/>
        </w:rPr>
        <w:t xml:space="preserve">La terza acquisizione mancante è la posizione italiana specifica su tre dossier: la crisi cipriota vista verso la Turchia (distinta da quella verso la Grecia), l'embargo statunitense del 1975 e la disputa egea. La sede di chiusura è l'Archivio Storico Diplomatico della Farnesina, serie Turchia, Cipro e Comunità europee 1974-1975, e la corrispondenza con la rappresentanza italiana presso la NATO, con l'avvertenza dell'esclusione temporanea dei Telegrammi 1942-1970. Il rendimento atteso è medio-alto, ma condizionato dai tempi di riordino dell'archivio.</w:t>
      </w:r>
    </w:p>
    <w:p>
      <w:pPr>
        <w:spacing w:after="120" w:line="276"/>
        <w:jc w:val="both"/>
      </w:pPr>
      <w:r>
        <w:rPr>
          <w:rFonts w:ascii="Barlow Semi Condensed" w:cs="Barlow Semi Condensed" w:eastAsia="Barlow Semi Condensed" w:hAnsi="Barlow Semi Condensed"/>
          <w:sz w:val="24"/>
          <w:szCs w:val="24"/>
        </w:rPr>
        <w:t xml:space="preserve">La quarta acquisizione mancante è l'eventuale reazione diplomatica italiana o vaticana alla chiusura del Seminario di Halki del 1971. La sede di chiusura è l'Archivio Apostolico Vaticano e la Segreteria di Stato per il pontificato di Paolo VI, l'archivio del Patriarcato ecumenico e l'Archivio Storico Diplomatico della Farnesina. Il rendimento atteso è medio, perché la stessa esistenza di una reazione documentata è incerta.</w:t>
      </w:r>
    </w:p>
    <w:p>
      <w:pPr>
        <w:spacing w:after="120" w:line="276"/>
        <w:jc w:val="both"/>
      </w:pPr>
      <w:r>
        <w:rPr>
          <w:rFonts w:ascii="Barlow Semi Condensed" w:cs="Barlow Semi Condensed" w:eastAsia="Barlow Semi Condensed" w:hAnsi="Barlow Semi Condensed"/>
          <w:sz w:val="24"/>
          <w:szCs w:val="24"/>
        </w:rPr>
        <w:t xml:space="preserve">La quinta acquisizione mancante è il coinvolgimento della Farnesina di Moro e la posizione italiana in sede di Nazioni Unite e Commissione stupefacenti sulla vicenda della revoca del divieto turco del papavero del 1974. La sede di chiusura è l'Archivio Storico Diplomatico della Farnesina, serie affari sociali, e gli archivi della Commissione stupefacenti a Vienna. Il rendimento atteso è medio-basso, poiché la documentazione statunitense mostra un negoziato prevalentemente bilaterale turco-americano da cui l'Italia risulta assente.</w:t>
      </w:r>
    </w:p>
    <w:p>
      <w:pPr>
        <w:spacing w:after="120" w:line="276"/>
        <w:jc w:val="both"/>
      </w:pPr>
      <w:r>
        <w:rPr>
          <w:rFonts w:ascii="Barlow Semi Condensed" w:cs="Barlow Semi Condensed" w:eastAsia="Barlow Semi Condensed" w:hAnsi="Barlow Semi Condensed"/>
          <w:sz w:val="24"/>
          <w:szCs w:val="24"/>
        </w:rPr>
        <w:t xml:space="preserve">La sesta acquisizione mancante è la consistenza quantitativa dell'interscambio commerciale Italia-Turchia 1969-1975 e la cronologia delle visite ministeriali reciproche del periodo. La sede di chiusura è l'ISTAT (annuari del commercio con l'estero), l'archivio dell'Istituto nazionale per il commercio estero e l'Archivio Storico Diplomatico. Il rendimento atteso è medio-basso per la relazione bilaterale, ma i dati sono in linea di principio disponibili.</w:t>
      </w:r>
    </w:p>
    <w:p>
      <w:pPr>
        <w:spacing w:after="120" w:line="276"/>
        <w:jc w:val="both"/>
      </w:pPr>
      <w:r>
        <w:rPr>
          <w:rFonts w:ascii="Barlow Semi Condensed" w:cs="Barlow Semi Condensed" w:eastAsia="Barlow Semi Condensed" w:hAnsi="Barlow Semi Condensed"/>
          <w:sz w:val="24"/>
          <w:szCs w:val="24"/>
        </w:rPr>
        <w:t xml:space="preserve">La settima e ultima acquisizione mancante è la consultazione integrale del prospetto ufficiale dell'Opus Dei delle date di inizio del lavoro stabile nei 68 Paesi e dell'elenco delle circoscrizioni regionali, a conferma definitiva e non più soltanto altamente probabile dell'assenza della Turchia. La sede di chiusura è il sito ufficiale dell'ente (opusdei.org) e le sue pubblicazioni istituzionali, oltre al nuovo portale storiadelopusdei.org promosso dal Centro Studi Josemaría Escrivá dell'Università di Navarra e dall'Istituto Storico San Josemaría Escrivá di Roma. Il rendimento atteso è basso in termini di novità — l'esito è pronosticabile come negativo e coerente con il modello — ma alto in termini di chiusura formale dell'accertamento.</w:t>
      </w:r>
    </w:p>
    <w:p>
      <w:pPr>
        <w:pStyle w:val="Heading2"/>
        <w:spacing w:after="100" w:before="200"/>
      </w:pPr>
      <w:r>
        <w:rPr>
          <w:rFonts w:ascii="Barlow Semi Condensed" w:cs="Barlow Semi Condensed" w:eastAsia="Barlow Semi Condensed" w:hAnsi="Barlow Semi Condensed"/>
          <w:sz w:val="24"/>
          <w:szCs w:val="24"/>
        </w:rPr>
        <w:t xml:space="preserve">Recommendations</w:t>
      </w:r>
    </w:p>
    <w:p>
      <w:pPr>
        <w:spacing w:after="120" w:line="276"/>
        <w:jc w:val="both"/>
      </w:pPr>
      <w:r>
        <w:rPr>
          <w:rFonts w:ascii="Barlow Semi Condensed" w:cs="Barlow Semi Condensed" w:eastAsia="Barlow Semi Condensed" w:hAnsi="Barlow Semi Condensed"/>
          <w:sz w:val="24"/>
          <w:szCs w:val="24"/>
        </w:rPr>
        <w:t xml:space="preserve">Per il completamento della ricerca si raccomanda una sequenza scaglionata. In prima battuta, e con priorità assoluta, occorre chiudere i due accertamenti a più alto rendimento e a più bassa incertezza: la legge italiana di ratifica del pacchetto CEE-Turchia (con numero, data e Gazzetta Ufficiale) tramite consultazione manuale di Normattiva, del portale storico della Camera e dell'Archivio storico del Senato; e l'identità del firmatario italiano del Protocollo addizionale del 23 novembre 1970 mediante lettura diretta dell'Atto finale in EUR-Lex CELEX 21970A1123(01) o nella GUCE L 293/1972. Questi due dati sono decisivi per stabilire se e in quale veste Moro sia legato all'atto prioritario, e sono reperibili senza accesso ad archivi fisici. La soglia che modificherebbe le conclusioni è semplice: se l'Atto finale reca la firma di Moro per l'Italia, la triangolazione Moro-Turchia acquista un ancoraggio documentale diretto e non più soltanto contiguo (come già è per l'accordo provvisorio del 27 luglio 1971); in caso contrario, si confermerà che il legame documentato passa per il ruolo comunitario di Moro nel 1971.</w:t>
      </w:r>
    </w:p>
    <w:p>
      <w:pPr>
        <w:spacing w:after="120" w:line="276"/>
        <w:jc w:val="both"/>
      </w:pPr>
      <w:r>
        <w:rPr>
          <w:rFonts w:ascii="Barlow Semi Condensed" w:cs="Barlow Semi Condensed" w:eastAsia="Barlow Semi Condensed" w:hAnsi="Barlow Semi Condensed"/>
          <w:sz w:val="24"/>
          <w:szCs w:val="24"/>
        </w:rPr>
        <w:t xml:space="preserve">In seconda battuta, per i dossier di rango diplomatico (posizione italiana su Cipro/Turchia, embargo 1975, disputa egea, oppiacei), si raccomanda l'accesso fisico all'Archivio Storico Diplomatico della Farnesina non appena la serie Telegrammi 1942-1970 sarà nuovamente consultabile: il benchmark che sblocca questa fase è la riapertura della serie dopo i lavori di ristrutturazione. In terza battuta, per il versante ecclesiale (reazione alla chiusura di Halki, rapporti Santa Sede-Turchia), si raccomanda la consultazione dell'Archivio Apostolico Vaticano per il pontificato di Paolo VI, man mano che la documentazione viene resa accessibile agli studiosi. Infine, per la chiusura formale dell'accertamento sull'Opus Dei, è sufficiente la consultazione integrale del prospetto ufficiale delle date di inizio del lavoro stabile: l'esito atteso è la conferma dell'assenza della Turchia, e nessun benchmark ragionevole lo modificherebbe, stante l'assetto demografico e istituzionale del Paese.</w:t>
      </w:r>
    </w:p>
    <w:p>
      <w:pPr>
        <w:pStyle w:val="Heading2"/>
        <w:spacing w:after="100" w:before="200"/>
      </w:pPr>
      <w:r>
        <w:rPr>
          <w:rFonts w:ascii="Barlow Semi Condensed" w:cs="Barlow Semi Condensed" w:eastAsia="Barlow Semi Condensed" w:hAnsi="Barlow Semi Condensed"/>
          <w:sz w:val="24"/>
          <w:szCs w:val="24"/>
        </w:rPr>
        <w:t xml:space="preserve">Caveats</w:t>
      </w:r>
    </w:p>
    <w:p>
      <w:pPr>
        <w:spacing w:after="120" w:line="276"/>
        <w:jc w:val="both"/>
      </w:pPr>
      <w:r>
        <w:rPr>
          <w:rFonts w:ascii="Barlow Semi Condensed" w:cs="Barlow Semi Condensed" w:eastAsia="Barlow Semi Condensed" w:hAnsi="Barlow Semi Condensed"/>
          <w:sz w:val="24"/>
          <w:szCs w:val="24"/>
        </w:rPr>
        <w:t xml:space="preserve">Il presente rapporto poggia in misura preponderante su fonti telematicamente accessibili — testi normativi comunitari in EUR-Lex, documenti desecretati statunitensi in history.state.gov, fonti ecclesiali e diplomatiche ufficiali — e non su consultazione archivistica diretta; gli esiti negativi qui dichiarati sono pertanto esiti della ricerca telematica, non prove dell'inesistenza dei documenti cercati. Diverse date e denominazioni restano oggetto di divergenza fra le fonti, e sono state riportate come tali anziché risolte: in particolare la denominazione degli eventi ciprioti del 1974 («operazione di pace» / «invasione»), la data di morte di Atenagora I (6 o 7 luglio 1972), il numero di patriarchi formati a Halki (12 secondo Türkiye Today, con GOARCH che indica cifre più ampie), le stime dei cattolici di Turchia (circa 60.000 secondo AgenSIR 2025, 25-30.000 secondo una fonte 2026) e le percentuali del territorio cipriota (34% richiesto a Ginevra, oltre 36% occupato). La materia turco-greca e cipriota è oggetto di contenziosi internazionali ancora aperti e di narrazioni contrapposte: le posizioni delle parti sono state riportate con il loro statuto di posizioni di parte, senza ometterle e senza adottarne alcuna. Si è mantenuta la distinzione fra ciò che i documenti attestano e ciò che se ne inferisce, e non si è trattata la contemporaneità cronologica come prova di un nesso. In ottemperanza alle istruzioni del committente, sono state escluse dalle fonti citate l'enciclopedia collaborativa denominata Grokipedia (che pure compariva fra i risultati di ricerca su alcuni temi) e il quotidiano il Manifesto. Nessuna responsabilità, intenzione o condotta è stata attribuita ad alcuna persona o istituzione oltre quanto le fonti accertino, e per le persone viventi si sono riportati esclusivamente fatti pubblici documentati.</w:t>
      </w:r>
    </w:p>
    <w:p>
      <w:r>
        <w:br w:type="page"/>
      </w:r>
    </w:p>
    <w:p>
      <w:pPr>
        <w:pStyle w:val="Heading1"/>
        <w:spacing w:after="120" w:before="240"/>
      </w:pPr>
      <w:r>
        <w:rPr>
          <w:rFonts w:ascii="Barlow Semi Condensed" w:cs="Barlow Semi Condensed" w:eastAsia="Barlow Semi Condensed" w:hAnsi="Barlow Semi Condensed"/>
          <w:sz w:val="24"/>
          <w:szCs w:val="24"/>
        </w:rPr>
        <w:t xml:space="preserve">Parte VI — La Santa Sede, la Turchia e l'attentato del 1981</w:t>
      </w:r>
    </w:p>
    <w:p>
      <w:pPr>
        <w:pStyle w:val="Heading1"/>
        <w:spacing w:after="120" w:before="240"/>
      </w:pPr>
      <w:r>
        <w:rPr>
          <w:rFonts w:ascii="Barlow Semi Condensed" w:cs="Barlow Semi Condensed" w:eastAsia="Barlow Semi Condensed" w:hAnsi="Barlow Semi Condensed"/>
          <w:sz w:val="24"/>
          <w:szCs w:val="24"/>
        </w:rPr>
        <w:t xml:space="preserve">RICERCA STORIOGRAFICA E ARCHIVISTICA: ALDO MORO, LA SANTA SEDE E LA TURCHIA, CON PARTICOLARE RIGUARDO ALL'ATTENTATO A GIOVANNI PAOLO II (1935-1985)</w:t>
      </w:r>
    </w:p>
    <w:p>
      <w:pPr>
        <w:spacing w:after="120" w:line="276"/>
        <w:jc w:val="both"/>
      </w:pPr>
      <w:r>
        <w:rPr>
          <w:rFonts w:ascii="Barlow Semi Condensed" w:cs="Barlow Semi Condensed" w:eastAsia="Barlow Semi Condensed" w:hAnsi="Barlow Semi Condensed"/>
          <w:sz w:val="24"/>
          <w:szCs w:val="24"/>
        </w:rPr>
        <w:t xml:space="preserve">TL;DR</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Il nodo che collega più direttamente e più documentatamente la Turchia al Vaticano è l'attentato del 13 maggio 1981: la traiettoria turca di Mehmet Ali Ağca (omicidio İpekçi del 1° febbraio 1979, evasione da Kartal-Maltepe del 25 novembre 1979, lettera minatoria a Milliyet del 27 novembre 1979) è documentata e accertata; per contro la cosiddetta «pista bulgara» non fu mai giudizialmente provata — la sentenza della Corte d'assise di Roma del 29 marzo 1986 assolse per insufficienza di prove Antonov e gli altri, Spazio70 (https://spazio70.com/post-anni-70/il-gioco-dei-potenti/mistero-della-fede-lattentato-al-papa-e-le-sue-ombre-la-falsa-pista-bulgara/) e la stessa CIA scrisse di «non essere in grado di sviluppare un quadro chiaro e conclusivo» del coinvolgimento bulgaro.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Il rapporto Santa Sede-Turchia 1935-1985 ha tre radici solide e ben documentate: il decennio di Angelo Roncalli (1935-1944), matrice riconosciuta dell'istituzione delle relazioni diplomatiche del 1960 (Internunziatura 25 gennaio 1960, Nunziatura con il breve Optimo sane del 30 agosto 1966); Wikipedia (https://it.m.wikipedia.org/wiki/Chiesa_cattolica_in_Turchia) il dialogo cattolico-ortodosso da Gerusalemme 1964 alla Commissione mista di Patmos-Rodi 1980; e la questione irrisolta delle minoranze cristiane (Halki chiusa dal 1971, esclusione dei cattolici latini dal Trattato di Losanna).</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Sul versante Moro-Turchia il materiale è reale ma prevalentemente europeo-comunitario e mediterraneo, non confessionale: non è emersa documentazione di una presa di posizione della Farnesina di Moro sulla chiusura di Halki o sullo statuto del Patriarcato ecumenico. Questo è un esito negativo di pieno valore, da chiudere presso l'Archivio Storico Diplomatico del Ministero degli Affari Esteri.</w:t>
      </w:r>
    </w:p>
    <w:p>
      <w:pPr>
        <w:spacing w:after="120" w:line="276"/>
        <w:jc w:val="both"/>
      </w:pPr>
      <w:r>
        <w:rPr>
          <w:rFonts w:ascii="Barlow Semi Condensed" w:cs="Barlow Semi Condensed" w:eastAsia="Barlow Semi Condensed" w:hAnsi="Barlow Semi Condensed"/>
          <w:sz w:val="24"/>
          <w:szCs w:val="24"/>
        </w:rPr>
        <w:t xml:space="preserve">KEY FINDINGS</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Ağca uccise Abdi İpekçi il 1° febbraio 1979 ed evase da Kartal-Maltepe il 25 novembre 1979; il 27 novembre 1979 minacciò per iscritto Giovanni Paolo II definendolo «Capo dei crociati». Questi fatti sono accertati.</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La condanna all'ergastolo in primo grado risale al 22 luglio 1981; l'arresto di Sergej Antonov al 25 novembre 1982; l'assoluzione dei bulgari e dei turchi per insufficienza di prove al 29 marzo 1986.</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Le valutazioni desecretate della CIA (FRUS 1981-1988, vol. X) sono concordi nel non affermare la responsabilità bulgaro-sovietica come provata; il caso della Procura poggiava «unicamente sulla testimonianza di Agca».</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Il decennio turco di Roncalli e il dialogo cattolico-ortodosso costituiscono la spina dorsale positiva del rapporto Santa Sede-Turchia; la questione delle minoranze (Halki, Losanna, cittadinanza turca del patriarca) ne è il contrappunto irrisolto.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Sull'asse Moro-questione confessionale in Turchia si registra un esito negativo di ricerca, da verificare in archivio.</w:t>
      </w:r>
    </w:p>
    <w:p>
      <w:pPr>
        <w:spacing w:after="120" w:line="276"/>
        <w:jc w:val="both"/>
      </w:pPr>
      <w:r>
        <w:rPr>
          <w:rFonts w:ascii="Barlow Semi Condensed" w:cs="Barlow Semi Condensed" w:eastAsia="Barlow Semi Condensed" w:hAnsi="Barlow Semi Condensed"/>
          <w:sz w:val="24"/>
          <w:szCs w:val="24"/>
        </w:rPr>
        <w:t xml:space="preserve">DETTAGLI</w:t>
      </w:r>
    </w:p>
    <w:p>
      <w:pPr>
        <w:spacing w:after="120" w:line="276"/>
        <w:jc w:val="both"/>
      </w:pPr>
      <w:r>
        <w:rPr>
          <w:rFonts w:ascii="Barlow Semi Condensed" w:cs="Barlow Semi Condensed" w:eastAsia="Barlow Semi Condensed" w:hAnsi="Barlow Semi Condensed"/>
          <w:sz w:val="24"/>
          <w:szCs w:val="24"/>
        </w:rPr>
        <w:t xml:space="preserve">CAPITOLO I — Premessa metodologica, perimetro della ricognizione e statuto delle fonti</w:t>
      </w:r>
    </w:p>
    <w:p>
      <w:pPr>
        <w:spacing w:after="120" w:line="276"/>
        <w:jc w:val="both"/>
      </w:pPr>
      <w:r>
        <w:rPr>
          <w:rFonts w:ascii="Barlow Semi Condensed" w:cs="Barlow Semi Condensed" w:eastAsia="Barlow Semi Condensed" w:hAnsi="Barlow Semi Condensed"/>
          <w:sz w:val="24"/>
          <w:szCs w:val="24"/>
        </w:rPr>
        <w:t xml:space="preserve">La presente ricognizione si colloca in dichiarata continuità con una precedente indagine condotta sul versante turco, di cui assume gli esiti come sfondo da non ripetere: l'Accordo di Ankara del 12 settembre 1963 e la sua entrata in vigore il 1° dicembre 1964; il Protocollo addizionale firmato a Bruxelles il 23 novembre 1970 ed entrato in vigore il 1° gennaio 1973, concluso a nome della Comunità con il Regolamento CEE 2760/72 pubblicato nella Gazzetta ufficiale delle Comunità europee L 293 del 29 dicembre 1972; la firma di Aldo Moro, a nome del Consiglio delle Comunità europee, dell'Accordo provvisorio CEE-Turchia del 27 luglio 1971, quale attestata dal preambolo del Regolamento CEE 1842/71; il Protocollo complementare firmato ad Ankara il 30 giugno 1973; la crisi cipriota del 1974; l'embargo statunitense sulle forniture militari alla Turchia; la disputa egea sulla piattaforma continentale con la sentenza della Corte internazionale di giustizia del 19 dicembre 1978; la Convenzione di Montreux del 20 luglio 1936; la revoca del divieto di coltivazione del papavero da oppio del 1° luglio 1974; la chiusura della Scuola teologica di Halki nel 1971; la morte del patriarca Atenagora I nel luglio 1972 e l'elezione di Dimitrios I; le relazioni diplomatiche Santa Sede-Turchia con Internunziatura eretta il 25 gennaio 1960 ed elevata a Nunziatura il 30 agosto 1966; e l'accertamento come Stato Zero dell'assenza dell'Opus Dei dalla Turchia. Tutto ciò è qui presupposto e non riesaminato.</w:t>
      </w:r>
    </w:p>
    <w:p>
      <w:pPr>
        <w:spacing w:after="120" w:line="276"/>
        <w:jc w:val="both"/>
      </w:pPr>
      <w:r>
        <w:rPr>
          <w:rFonts w:ascii="Barlow Semi Condensed" w:cs="Barlow Semi Condensed" w:eastAsia="Barlow Semi Condensed" w:hAnsi="Barlow Semi Condensed"/>
          <w:sz w:val="24"/>
          <w:szCs w:val="24"/>
        </w:rPr>
        <w:t xml:space="preserve">L'obiettivo prioritario di questa nuova ricognizione, come indicato dal committente, è l'attentato del 13 maggio 1981 e la traiettoria turca di Mehmet Ali Ağca, in quanto nodo che collega la Turchia al Vaticano in modo più diretto e documentato di ogni altro elemento della serie. Attorno a questo perno si dispongono, in ordine di priorità, il decennio turco di Roncalli, il dialogo cattolico-ortodosso, lo statuto delle comunità cattoliche, il rapporto fra Santa Sede, Turchia e Conferenza sulla sicurezza e la cooperazione in Europa, la posizione italiana sulle minoranze cristiane, e infine il quadro degli archivi e delle fonti desecretate.</w:t>
      </w:r>
    </w:p>
    <w:p>
      <w:pPr>
        <w:spacing w:after="120" w:line="276"/>
        <w:jc w:val="both"/>
      </w:pPr>
      <w:r>
        <w:rPr>
          <w:rFonts w:ascii="Barlow Semi Condensed" w:cs="Barlow Semi Condensed" w:eastAsia="Barlow Semi Condensed" w:hAnsi="Barlow Semi Condensed"/>
          <w:sz w:val="24"/>
          <w:szCs w:val="24"/>
        </w:rPr>
        <w:t xml:space="preserve">La disciplina di metodo adottata è quella richiesta dal committente e la si dichiara qui una volta per tutte. Per ogni affermazione si indica la fonte e la sua natura: atto pontificio o della Segreteria di Stato, atto parlamentare con data, sentenza con data e autorità giudicante, trattato o protocollo con il riferimento alla pubblicazione ufficiale, documento desecretato con protocollo, studio scientifico, fonte ufficiale dell'istituzione interessata, memoria di protagonista, pubblicistica divulgativa. Si distingue costantemente ciò che il documento attesta da ciò che se ne inferisce, e ciò che una sentenza accerta da ciò che essa dichiara non provato. In particolare, la cosiddetta «pista bulgara» non fu giudizialmente provata e viene qualificata come tale ogni volta che venga menzionata; le tesi che la affermano come accertata sono riportate e qualificate come non sostenute dalle sentenze; le dichiarazioni successive di Mehmet Ali Ağca — vivente — ripetutamente contraddittorie e ritrattate, sono trattate come dichiarazioni di un soggetto la cui attendibilità è stata giudizialmente e storiograficamente contestata, e non come fonti di accertamento. Non si tratta l'appartenenza di una persona a una organizzazione come prova di una condotta di quella organizzazione, e ciò vale in modo assoluto per i Lupi Grigi e per i servizi di sicurezza di ogni Paese menzionato; non si tratta la contemporaneità cronologica come prova di un nesso.</w:t>
      </w:r>
    </w:p>
    <w:p>
      <w:pPr>
        <w:spacing w:after="120" w:line="276"/>
        <w:jc w:val="both"/>
      </w:pPr>
      <w:r>
        <w:rPr>
          <w:rFonts w:ascii="Barlow Semi Condensed" w:cs="Barlow Semi Condensed" w:eastAsia="Barlow Semi Condensed" w:hAnsi="Barlow Semi Condensed"/>
          <w:sz w:val="24"/>
          <w:szCs w:val="24"/>
        </w:rPr>
        <w:t xml:space="preserve">Le fonti privilegiate sono in italiano e, per i versanti confessionali, i testi ufficiali della Santa Sede reperibili nel sito vatican.va e christianunity.va; per il versante giudiziario e parlamentare italiano, i documenti pubblicati da parlamento.it; per il versante statunitense, la raccolta Foreign Relations of the United States, 1981-1988, volume X, edita dall'Office of the Historian del Dipartimento di Stato, e la CIA FOIA Electronic Reading Room; per la storiografia su Moro, il volume collettaneo Fra diplomazia e petrolio. Aldo Moro e la politica italiana in Medio Oriente (1963-1978), a cura di Federico Imperato, Rosario Milano e Luciano Monzali, Cacucci, Bari 2018, che contiene un capitolo specifico di Federico Imperato intitolato Un aspetto della politica mediterranea dell'Italia: le relazioni con la Turchia (1946-1974), alle pagine 119-154. Sono espressamente esclusi, per indicazione del committente, l'enciclopedia collaborativa Grokipedia e il quotidiano il Manifesto. Ove le fonti divergano su una data, un numero o una denominazione, la divergenza viene riportata anziché risolta silenziosamente; ove una tesi circolante nella pubblicistica non trovi riscontro nelle fonti primarie o nelle sentenze, viene qualificata come non sostenuta. Gli esiti negativi sono raccolti nel capitolo conclusivo come acquisizioni di pieno valore.</w:t>
      </w:r>
    </w:p>
    <w:p>
      <w:pPr>
        <w:spacing w:after="120" w:line="276"/>
        <w:jc w:val="both"/>
      </w:pPr>
      <w:r>
        <w:rPr>
          <w:rFonts w:ascii="Barlow Semi Condensed" w:cs="Barlow Semi Condensed" w:eastAsia="Barlow Semi Condensed" w:hAnsi="Barlow Semi Condensed"/>
          <w:sz w:val="24"/>
          <w:szCs w:val="24"/>
        </w:rPr>
        <w:t xml:space="preserve">CAPITOLO II — Aldo Moro alla Farnesina e il rapporto con la Turchia</w:t>
      </w:r>
    </w:p>
    <w:p>
      <w:pPr>
        <w:spacing w:after="120" w:line="276"/>
        <w:jc w:val="both"/>
      </w:pPr>
      <w:r>
        <w:rPr>
          <w:rFonts w:ascii="Barlow Semi Condensed" w:cs="Barlow Semi Condensed" w:eastAsia="Barlow Semi Condensed" w:hAnsi="Barlow Semi Condensed"/>
          <w:sz w:val="24"/>
          <w:szCs w:val="24"/>
        </w:rPr>
        <w:t xml:space="preserve">La titolarità di Aldo Moro al Ministero degli Affari Esteri copre due periodi, dal 5 agosto 1969 al 26 giugno 1972 e dal 7 luglio 1973 al 23 novembre 1974, attraverso i governi Rumor II e III, Colombo, Andreotti I e Rumor IV e V, Esteri (https://www.esteri.it/it/ministero/storia/ministri_esteri/aldo_moro/) come registra la scheda biografica ufficiale del Ministero degli Affari Esteri e della Cooperazione Internazionale (esteri.it, sezione «Storia — Ministri degli Esteri»). La medesima fonte istituzionale sottolinea che egli si distinse «per la risoluzione di contenziosi internazionali». Il Dizionario dell'Integrazione Europea 1950-2017 (dizie.eu) precisa che Moro firmò l'Atto finale di Helsinki «in qualità di presidente del Consiglio e presidente di turno della Comunità europea», che inaugurò a Firenze l'Istituto universitario europeo nel febbraio 1975, e che aveva presentato già nel 1964 un memorandum per inserire gli accordi di associazione dell'area mediterranea in una cornice comunitaria.</w:t>
      </w:r>
    </w:p>
    <w:p>
      <w:pPr>
        <w:spacing w:after="120" w:line="276"/>
        <w:jc w:val="both"/>
      </w:pPr>
      <w:r>
        <w:rPr>
          <w:rFonts w:ascii="Barlow Semi Condensed" w:cs="Barlow Semi Condensed" w:eastAsia="Barlow Semi Condensed" w:hAnsi="Barlow Semi Condensed"/>
          <w:sz w:val="24"/>
          <w:szCs w:val="24"/>
        </w:rPr>
        <w:t xml:space="preserve">La collocazione della Turchia nella politica estera di Moro è, alla luce delle fonti reperite, prevalentemente comunitaria e mediterranea, non confessionale. Il capitolo di Federico Imperato nel volume Cacucci del 2018 — la fonte scientifica di riferimento su questo asse — è intitolato Un aspetto della politica mediterranea dell'Italia: le relazioni con la Turchia (1946-1974), il che colloca esplicitamente il rapporto italo-turco nel quadro della proiezione mediterranea dell'Italia repubblicana. Il quadro complessivo del volume, con i capitoli su equidistanza e filoarabismo, sull'Iran, sul Libano e sul Pakistan, mostra che l'interesse dominante della Farnesina moroteana nell'area era quello politico-energetico e di equilibrio fra i blocchi, secondo la formula, ricordata dalla nota storico-critica di Enrico Palumbo nell'edizione digitale delle opere di Moro (aldomorodigitale.unibo.it), della «proiezione mediterranea» della sua politica estera e della «grande attenzione di Moro al mondo arabo e alla causa palestinese».</w:t>
      </w:r>
    </w:p>
    <w:p>
      <w:pPr>
        <w:spacing w:after="120" w:line="276"/>
        <w:jc w:val="both"/>
      </w:pPr>
      <w:r>
        <w:rPr>
          <w:rFonts w:ascii="Barlow Semi Condensed" w:cs="Barlow Semi Condensed" w:eastAsia="Barlow Semi Condensed" w:hAnsi="Barlow Semi Condensed"/>
          <w:sz w:val="24"/>
          <w:szCs w:val="24"/>
        </w:rPr>
        <w:t xml:space="preserve">Il dato istituzionale più solido e già acquisito è la firma di Moro, a nome del Consiglio delle Comunità europee, dell'Accordo provvisorio CEE-Turchia del 27 luglio 1971, attestata dal preambolo del Regolamento CEE 1842/71 che lo nomina insieme a Franco Maria Malfatti, presidente della Commissione, con Osman Olcay per la Turchia. Questo elemento — pienamente documentato — testimonia il ruolo di Moro come snodo della relazione comunitaria con Ankara nella fase in cui l'Italia esercitava responsabilità di presidenza, e si salda con la firma dell'Atto finale di Helsinki del 1° agosto 1975, alla quale si torna al Capitolo X. La documentazione francese citata da aldomoro.eu registra inoltre incontri di Moro come ministro degli Esteri con l'omologo francese Maurice Schumann e con il presidente Georges Pompidou nel 1970-1971, e la sua relazione al Parlamento europeo del 10 giugno 1971 in qualità di presidente in esercizio del Consiglio: la Turchia vi compare nel contesto dell'unificazione politica europea e degli accordi di associazione, non delle questioni religiose.</w:t>
      </w:r>
    </w:p>
    <w:p>
      <w:pPr>
        <w:spacing w:after="120" w:line="276"/>
        <w:jc w:val="both"/>
      </w:pPr>
      <w:r>
        <w:rPr>
          <w:rFonts w:ascii="Barlow Semi Condensed" w:cs="Barlow Semi Condensed" w:eastAsia="Barlow Semi Condensed" w:hAnsi="Barlow Semi Condensed"/>
          <w:sz w:val="24"/>
          <w:szCs w:val="24"/>
        </w:rPr>
        <w:t xml:space="preserve">La ricognizione consente di affermare con sicurezza, in negativo, un punto rilevante: nelle fonti reperite non emerge alcuna presa di posizione documentata di Moro, o della Farnesina sotto la sua guida, sulla condizione delle minoranze cristiane in Turchia, sulla chiusura di Halki del 1971 o sullo statuto del Patriarcato ecumenico. Questo esito, di pieno valore, viene ripreso e circostanziato al Capitolo XI e classificato al Capitolo XII con l'indicazione della sede presso cui la ricerca andrebbe condotta, cioè l'Archivio Storico Diplomatico del Ministero degli Affari Esteri, serie Turchia e serie Santa Sede 1969-1975, tenuto conto dell'esclusione temporanea, già accertata nella ricognizione anteriore, dei Telegrammi 1942-1970. Poiché il materiale specificamente riferito al binomio Moro-Turchia sul piano confessionale è, allo stato, assai limitato, questo capitolo è deliberatamente più contenuto di altri: preferire un capitolo corto che dichiari la scarsità della base documentale è coerente con la disciplina richiesta e con l'onestà epistemica della ricerca.</w:t>
      </w:r>
    </w:p>
    <w:p>
      <w:pPr>
        <w:spacing w:after="120" w:line="276"/>
        <w:jc w:val="both"/>
      </w:pPr>
      <w:r>
        <w:rPr>
          <w:rFonts w:ascii="Barlow Semi Condensed" w:cs="Barlow Semi Condensed" w:eastAsia="Barlow Semi Condensed" w:hAnsi="Barlow Semi Condensed"/>
          <w:sz w:val="24"/>
          <w:szCs w:val="24"/>
        </w:rPr>
        <w:t xml:space="preserve">CAPITOLO III — L'attentato del 13 maggio 1981 e la traiettoria turca di Mehmet Ali Ağca</w:t>
      </w:r>
    </w:p>
    <w:p>
      <w:pPr>
        <w:spacing w:after="120" w:line="276"/>
        <w:jc w:val="both"/>
      </w:pPr>
      <w:r>
        <w:rPr>
          <w:rFonts w:ascii="Barlow Semi Condensed" w:cs="Barlow Semi Condensed" w:eastAsia="Barlow Semi Condensed" w:hAnsi="Barlow Semi Condensed"/>
          <w:sz w:val="24"/>
          <w:szCs w:val="24"/>
        </w:rPr>
        <w:t xml:space="preserve">Mehmet Ali Ağca è nato in Anatolia, a Malatya (alcune fonti indicano il villaggio di Hekimhan nella provincia di Malatya), il 9 gennaio 1958. Wikipedia (https://en.wikipedia.org/wiki/Mehmet_Ali_A%C4%9Fca) La sua traiettoria giudiziaria comincia con un fatto accertato: il 1° febbraio 1979 partecipò all'omicidio di Abdi İpekçi, direttore ed editorialista di punta del quotidiano Milliyet, uno dei principali giornali turchi. Wikipedia (https://en.wikipedia.org/wiki/Milliyet) İpekçi, nato il 9 agosto 1929, fu ucciso con colpi d'arma da fuoco all'interno della propria automobile davanti alla sua abitazione a Istanbul; la voce enciclopedica di riferimento indica che l'azione fu compiuta insieme a Oral Çelik, coetaneo e amico d'infanzia di Ağca. Va segnalata una divergenza fra le fonti sulla dinamica: alcune ricostruzioni giornalistiche riportano la confessione di Ağca «ho sparato quattro o cinque volte», mentre sul luogo del delitto furono rinvenuti tredici bossoli, circostanza che alimentò l'ipotesi della presenza di più esecutori; goodreads (https://www.goodreads.com/notes/41736831-operation-gladio/28440635-jos-mar-a-blancowhite/c0835082-842c-42f7-8825-b4fc114719a8) questa resta un'inferenza, non un accertamento.</w:t>
      </w:r>
    </w:p>
    <w:p>
      <w:pPr>
        <w:spacing w:after="120" w:line="276"/>
        <w:jc w:val="both"/>
      </w:pPr>
      <w:r>
        <w:rPr>
          <w:rFonts w:ascii="Barlow Semi Condensed" w:cs="Barlow Semi Condensed" w:eastAsia="Barlow Semi Condensed" w:hAnsi="Barlow Semi Condensed"/>
          <w:sz w:val="24"/>
          <w:szCs w:val="24"/>
        </w:rPr>
        <w:t xml:space="preserve">Condannato per l'omicidio İpekçi, Ağca evase il 25 novembre 1979 dal carcere militare di massima sicurezza di Kartal-Maltepe. NPR (https://www.npr.org/2006/01/20/5164596/turkey-recoils-at-release-of-man-who-shot-pope) Le fonti concordano sul carattere anomalo della fuga: egli uscì, secondo le ricostruzioni pubblicistiche, indossando una divisa militare e passando dall'ingresso, circostanza che la stampa turca dell'epoca giudicò indicativa di complicità interne. Occorre qui la massima cautela: le spiegazioni circa mandanti e reti protettive dietro l'evasione appartengono al terreno delle ipotesi giornalistiche e non a quello dell'accertamento giudiziario, e come tali vengono riportate.</w:t>
      </w:r>
    </w:p>
    <w:p>
      <w:pPr>
        <w:spacing w:after="120" w:line="276"/>
        <w:jc w:val="both"/>
      </w:pPr>
      <w:r>
        <w:rPr>
          <w:rFonts w:ascii="Barlow Semi Condensed" w:cs="Barlow Semi Condensed" w:eastAsia="Barlow Semi Condensed" w:hAnsi="Barlow Semi Condensed"/>
          <w:sz w:val="24"/>
          <w:szCs w:val="24"/>
        </w:rPr>
        <w:t xml:space="preserve">Pochi giorni dopo l'evasione, il 27 novembre 1979, Ağca inviò al quotidiano Milliyet una lettera minatoria nella quale annunciava che avrebbe colpito il pontefice in occasione del viaggio in Turchia, definendo Giovanni Paolo II «il Capo dei crociati». Il testo — ampiamente citato dalla pubblicistica italiana e turca — recita, nella parte riportata: «Le Potenze dell'imperialismo occidentale temono che la Turchia possa costruire una coalizione politica, economica e militare in Medio Oriente con gli altri Paesi islamici fratelli, perciò mandano in Turchia, in questo momento delicato, papa Giovanni Paolo II, il Capo dei crociati. Se questa visita non verrà cancellata, io certamente colpirò il Papa». Il Giardino dei Libri (https://www.ilgiardinodeilibri.it/libri/__attentato-al-papa-elena-hilal-agca-libro.php) La lettera è cronologicamente anteriore di quasi diciotto mesi all'attentato e costituisce, sul piano documentale, il primo collegamento esplicito e datato fra Ağca e il progetto di colpire il papa.</w:t>
      </w:r>
    </w:p>
    <w:p>
      <w:pPr>
        <w:spacing w:after="120" w:line="276"/>
        <w:jc w:val="both"/>
      </w:pPr>
      <w:r>
        <w:rPr>
          <w:rFonts w:ascii="Barlow Semi Condensed" w:cs="Barlow Semi Condensed" w:eastAsia="Barlow Semi Condensed" w:hAnsi="Barlow Semi Condensed"/>
          <w:sz w:val="24"/>
          <w:szCs w:val="24"/>
        </w:rPr>
        <w:t xml:space="preserve">Il viaggio di Giovanni Paolo II in Turchia si svolse regolarmente dal 28 al 30 novembre 1979 e non subì attentati; se ne tratta al Capitolo VII. L'azione contro il pontefice ebbe luogo invece l'anno successivo: il 13 maggio 1981, nel pomeriggio, in piazza San Pietro, durante l'udienza generale, Ağca sparò contro Giovanni Paolo II. Il papa fu gravemente ferito, soccorso e trasportato al policlinico Gemelli, dove fu sottoposto a interventi chirurgici e sopravvisse. Sul numero dei colpi e su alcuni dettagli materiali persistono, nella pubblicistica, divergenze che non incidono sull'accertamento del fatto principale. Il processo italiano di primo grado si tenne con procedura rapida: le fonti concordano sulla conclusione con condanna all'ergastolo, collocandola al 22 luglio 1981 (alcune ricostruzioni indicano l'avvio del dibattimento all'8 luglio 1981 e la sentenza al 22 luglio, CultWeb (https://cultweb.it/cultura/storia/che-fine-ha-fatto-ali-agca-lattentatore-di-giovanni-paolo-ii/) altre riassumono in «tre giorni di processo»). Ağca rinunciò all'appello. Un elemento va isolato con nettezza: le dichiarazioni successive di Ağca — sulla natura solitaria o concertata dell'azione, sui presunti mandanti, sulle piste bulgara e vaticana, fino alle affermazioni degli anni recenti collegate al caso Orlandi Il Giardino dei Libri (https://www.ilgiardinodeilibri.it/libri/__attentato-al-papa-elena-hilal-agca-libro.php) e alle sue autoproclamazioni messianiche — sono, per costante contraddittorietà e ritrattazione, prive di valore di accertamento, e come tali vengono trattate in questa ricognizione, che le registra come fatti pubblici (cioè: che Ağca le abbia rese) ma non come fonti sul merito.</w:t>
      </w:r>
    </w:p>
    <w:p>
      <w:pPr>
        <w:spacing w:after="120" w:line="276"/>
        <w:jc w:val="both"/>
      </w:pPr>
      <w:r>
        <w:rPr>
          <w:rFonts w:ascii="Barlow Semi Condensed" w:cs="Barlow Semi Condensed" w:eastAsia="Barlow Semi Condensed" w:hAnsi="Barlow Semi Condensed"/>
          <w:sz w:val="24"/>
          <w:szCs w:val="24"/>
        </w:rPr>
        <w:t xml:space="preserve">CAPITOLO IV — La cosiddetta pista bulgara: istruttoria, processo, assoluzioni e valutazioni di intelligence</w:t>
      </w:r>
    </w:p>
    <w:p>
      <w:pPr>
        <w:spacing w:after="120" w:line="276"/>
        <w:jc w:val="both"/>
      </w:pPr>
      <w:r>
        <w:rPr>
          <w:rFonts w:ascii="Barlow Semi Condensed" w:cs="Barlow Semi Condensed" w:eastAsia="Barlow Semi Condensed" w:hAnsi="Barlow Semi Condensed"/>
          <w:sz w:val="24"/>
          <w:szCs w:val="24"/>
        </w:rPr>
        <w:t xml:space="preserve">La qualificazione della «pista bulgara» come ipotesi giudizialmente non provata è il cardine di questo capitolo e va ribadita in apertura. La sequenza documentale è la seguente. Dopo la condanna di Ağca del 1981, la Procura di Roma proseguì le indagini per accertare l'eventuale esistenza di mandanti; il supplemento istruttorio fu affidato al giudice istruttore Ilario Martella. Nell'agosto 1982 la giornalista statunitense Claire Sterling, sul Reader's Digest, sostenne che Ağca avesse agito su mandato dei servizi bulgari e sovietici: è in questa sede pubblicistica che, come registrano concordemente le ricostruzioni italiane, emerse per la prima volta la «pista bulgara». Il 25 novembre 1982 fu arrestato a Roma Sergej Ivanov Antonov, rappresentante nella capitale italiana della compagnia aerea di bandiera bulgara Balkan Airlines, indicato da Ağca come uno dei complici; le fonti lo descrivono come funzionario della compagnia, non come diplomatico, rimasto a Roma dopo l'attentato fino all'arresto. Insieme ad Antonov furono coinvolti i bulgari Todor Ajvazov e Jelio Vassilev e alcuni cittadini turchi, fra cui Musa Serdar Çelebi, Omar Bağci, Oral Çelik e Bekir Çelenk.</w:t>
      </w:r>
    </w:p>
    <w:p>
      <w:pPr>
        <w:spacing w:after="120" w:line="276"/>
        <w:jc w:val="both"/>
      </w:pPr>
      <w:r>
        <w:rPr>
          <w:rFonts w:ascii="Barlow Semi Condensed" w:cs="Barlow Semi Condensed" w:eastAsia="Barlow Semi Condensed" w:hAnsi="Barlow Semi Condensed"/>
          <w:sz w:val="24"/>
          <w:szCs w:val="24"/>
        </w:rPr>
        <w:t xml:space="preserve">Il processo davanti alla Corte d'assise di Roma iniziò il 28 maggio 1985 e si concluse il 29 marzo 1986 con l'assoluzione per insufficienza di prove di Antonov, Vassilev, Ajvazov, Çelebi e Çelik; furono invece condannati Omar Bağci a tre anni e due mesi e lo stesso Ağca a un anno per detenzione di arma; Bekir Çelenk era nel frattempo deceduto. La sentenza fu confermata in appello il 19 dicembre 1987. È essenziale l'annotazione giuridica, correttamente sottolineata anche dalla pubblicistica specializzata: nell'ordinamento allora vigente l'assoluzione «per insufficienza di prove» era distinta dall'accertamento dell'innocenza, e significava che il giudice non aveva raggiunto la certezza necessaria per condannare, non che avesse provato l'estraneità degli imputati ai fatti. Questa distinzione, tuttavia, non trasforma un'ipotesi non provata in un fatto: la responsabilità bulgaro-sovietica non fu giudizialmente accertata, e ogni tesi che la presenti come acquisita è, allo stato delle sentenze, non sostenuta.</w:t>
      </w:r>
    </w:p>
    <w:p>
      <w:pPr>
        <w:spacing w:after="120" w:line="276"/>
        <w:jc w:val="both"/>
      </w:pPr>
      <w:r>
        <w:rPr>
          <w:rFonts w:ascii="Barlow Semi Condensed" w:cs="Barlow Semi Condensed" w:eastAsia="Barlow Semi Condensed" w:hAnsi="Barlow Semi Condensed"/>
          <w:sz w:val="24"/>
          <w:szCs w:val="24"/>
        </w:rPr>
        <w:t xml:space="preserve">Le valutazioni desecretate dell'intelligence statunitense convergono, in modo notevole, con la prudenza delle sentenze italiane. Nella raccolta Foreign Relations of the United States, 1981-1988, volume X, il documento 370 riproduce un memorandum del direttore della Central Intelligence Agency William J. Casey e l'allegata analisi dell'Agenzia intitolata «Bulgarian Complicity in the Papal Assassination Attempt», la cui introduzione afferma testualmente: «We are unable at this juncture to develop a clear-cut, conclusive picture of Bulgarian involvement with would-be papal assassin Mehmet Ali Agca». state (https://history.state.gov/historicaldocuments/frus1981-88v10/d370) state (https://history.state.gov/historicaldocuments/frus1981-88v10/d370) Lo stesso documento riporta la valutazione dell'ambasciata statunitense a Sofia secondo cui sarebbe stato difficile credere a un coinvolgimento diretto dei servizi bulgari «perché sarebbe stato così stupido», pur precisando che tale considerazione non escludeva la possibilità di un coinvolgimento ufficiale. Il documento 376 del medesimo volume, un memorandum preparato dalla CIA sull'«Assessment of Responsibility for Papal Assassination Attempt», contiene la conclusione «On Balance» secondo cui «gran parte della tesi del Procuratore generale italiano che allega la complicità del blocco orientale nell'attacco al Papa appare dipendere unicamente dalla testimonianza di Agca, e questi non è sempre stato veritiero o coerente nel periodo della sua detenzione», aggiungendo che, anche qualora Ağca avesse avuto contatti con i bulgari accusati, questi avrebbero potuto riguardare stupefacenti o traffici d'armi «grigie» piuttosto che una cospirazione per uccidere il papa. state (https://history.state.gov/historicaldocuments/frus1981-88v10/d376) La lettera di accompagnamento redatta in ambito Consiglio per la sicurezza nazionale osservava che «la CIA ha pochissime prove in un senso o nell'altro». state (https://history.state.gov/historicaldocuments/frus1981-88v10/d376) Il documento 377, un'Intelligence Assessment del dicembre 1984 dell'Office of European Analysis, dichiara espressamente di non affrontare «la questione ultima della colpevolezza o innocenza della Bulgaria» state (https://history.state.gov/historicaldocuments/frus1981-88v10/d377) e riconosce che il processo italiano avrebbe potuto condannare Antonov «unicamente sulla base della testimonianza di Agca».</w:t>
      </w:r>
    </w:p>
    <w:p>
      <w:pPr>
        <w:spacing w:after="120" w:line="276"/>
        <w:jc w:val="both"/>
      </w:pPr>
      <w:r>
        <w:rPr>
          <w:rFonts w:ascii="Barlow Semi Condensed" w:cs="Barlow Semi Condensed" w:eastAsia="Barlow Semi Condensed" w:hAnsi="Barlow Semi Condensed"/>
          <w:sz w:val="24"/>
          <w:szCs w:val="24"/>
        </w:rPr>
        <w:t xml:space="preserve">Va inoltre segnalato, per completezza e con la dovuta qualificazione, il contrasto interno all'apparato statunitense fra queste valutazioni analitiche prudenti e la linea più assertiva propria di alcuni documenti di livello politico-esecutivo, e le successive dichiarazioni pubbliche dell'ex analista della CIA Melvin A. Goodman. Goodman, già responsabile della divisione sugli affari sovietici dell'Agenzia, testimoniò davanti alla Commissione ristretta del Senato sull'intelligence — nel contesto delle audizioni di conferma di Robert Gates a direttore della CIA, collocabili all'ottobre 1991 (alcune fonti secondarie indicano il 1990, ma il verbale ufficiale del Senato colloca la sessione sulla «politicizzazione» dell'analisi al 1° ottobre 1991) — sostenendo che l'Agenzia non disponeva di prove che collegassero il KGB o i bulgari al complotto e che vi erano state pressioni interne per orientare i rapporti verso la tesi del complotto sovietico. Queste dichiarazioni, di per sé, non provano né smentiscono alcunché sul merito dei mandanti: attestano soltanto lo stato delle conoscenze e delle tensioni interne all'intelligence statunitense, e come tali vanno lette. Nel loro insieme, i documenti desecretati non affermano come provata la responsabilità bulgaro-sovietica; anzi, ne segnalano ripetutamente la fragilità probatoria, riconducibile alla dipendenza dalle dichiarazioni di un teste inattendibile.</w:t>
      </w:r>
    </w:p>
    <w:p>
      <w:pPr>
        <w:spacing w:after="120" w:line="276"/>
        <w:jc w:val="both"/>
      </w:pPr>
      <w:r>
        <w:rPr>
          <w:rFonts w:ascii="Barlow Semi Condensed" w:cs="Barlow Semi Condensed" w:eastAsia="Barlow Semi Condensed" w:hAnsi="Barlow Semi Condensed"/>
          <w:sz w:val="24"/>
          <w:szCs w:val="24"/>
        </w:rPr>
        <w:t xml:space="preserve">CAPITOLO V — I Lupi Grigi, il Milliyetçi Hareket Partisi e la questione della loro natura</w:t>
      </w:r>
    </w:p>
    <w:p>
      <w:pPr>
        <w:spacing w:after="120" w:line="276"/>
        <w:jc w:val="both"/>
      </w:pPr>
      <w:r>
        <w:rPr>
          <w:rFonts w:ascii="Barlow Semi Condensed" w:cs="Barlow Semi Condensed" w:eastAsia="Barlow Semi Condensed" w:hAnsi="Barlow Semi Condensed"/>
          <w:sz w:val="24"/>
          <w:szCs w:val="24"/>
        </w:rPr>
        <w:t xml:space="preserve">I Lupi Grigi (in turco Bozkurtlar), noti ufficialmente come Ülkücüler («idealisti») e organizzati nei focolari Ülkü Ocakları, sono un movimento del nazionalismo turco radicale la cui matrice ideologica è il panturchismo o turanismo. La voce enciclopedica italiana di riferimento e la pubblicistica specializzata li descrivono come collegati al Milliyetçi Hareket Partisi (Partito del movimento nazionalista, MHP) fondato dal colonnello Alparslan Türkeş nel 1969, di cui gli Ülkü Ocakları costituivano la sezione giovanile e, secondo numerose ricostruzioni, l'ala paramilitare. Le fonti convergono nell'attribuire al movimento un'attività violenta rilevante negli anni Settanta, con vittime numerose nel decennio che precedette il colpo di Stato militare del generale Kenan Evren del settembre 1980, il quale mise al bando tanto i Lupi Grigi quanto l'MHP. Sulla natura e sui finanziamenti del movimento le fonti divergono e sono in parte di carattere pubblicistico o di testimonianza: si menzionano rapporti con ambienti dell'anticomunismo occidentale in funzione antisovietica, e — dopo la messa al bando e la diaspora dei quadri in Germania, Francia e Austria — un coinvolgimento in traffici illeciti; lo storico tedesco Nikolaus Brauns è citato per la tesi dell'insediamento in Germania favorito da apparati locali in chiave anticomunista. Tutte queste attribuzioni vanno prese come ipotesi documentate in modo disuguale, non come accertamenti.</w:t>
      </w:r>
    </w:p>
    <w:p>
      <w:pPr>
        <w:spacing w:after="120" w:line="276"/>
        <w:jc w:val="both"/>
      </w:pPr>
      <w:r>
        <w:rPr>
          <w:rFonts w:ascii="Barlow Semi Condensed" w:cs="Barlow Semi Condensed" w:eastAsia="Barlow Semi Condensed" w:hAnsi="Barlow Semi Condensed"/>
          <w:sz w:val="24"/>
          <w:szCs w:val="24"/>
        </w:rPr>
        <w:t xml:space="preserve">Il punto dirimente, sul quale la disciplina di metodo è vincolante, è il seguente: l'appartenenza — o la contiguità — di Mehmet Ali Ağca all'ambiente ülkücü, ampiamente riferita dalle fonti, non costituisce prova di una condotta dell'organizzazione in quanto tale rispetto all'attentato del 1981. Le fonti giudiziarie non hanno accertato un mandato organizzativo dei Lupi Grigi per l'attacco al pontefice; la stessa pubblicistica che collega Ağca ai Lupi Grigi lo fa per lo più sul piano biografico e ambientale. Trattare la militanza individuale come prova di responsabilità collettiva sarebbe un salto logico che questa ricognizione rifiuta espressamente, coerentemente con il vincolo secondo cui la comunanza di ambiente istituzionale non equivale a convergenza di obiettivo documentata. Analogamente, la circostanza che Oral Çelik — indicato come complice nell'omicidio İpekçi e negli sviluppi successivi — appartenga allo stesso ambiente non prova, di per sé, la natura degli eventuali mandanti dell'attentato del 1981, rimasti giudizialmente non accertati.</w:t>
      </w:r>
    </w:p>
    <w:p>
      <w:pPr>
        <w:spacing w:after="120" w:line="276"/>
        <w:jc w:val="both"/>
      </w:pPr>
      <w:r>
        <w:rPr>
          <w:rFonts w:ascii="Barlow Semi Condensed" w:cs="Barlow Semi Condensed" w:eastAsia="Barlow Semi Condensed" w:hAnsi="Barlow Semi Condensed"/>
          <w:sz w:val="24"/>
          <w:szCs w:val="24"/>
        </w:rPr>
        <w:t xml:space="preserve">CAPITOLO VI — Il decennio turco di Angelo Roncalli (1935-1944)</w:t>
      </w:r>
    </w:p>
    <w:p>
      <w:pPr>
        <w:spacing w:after="120" w:line="276"/>
        <w:jc w:val="both"/>
      </w:pPr>
      <w:r>
        <w:rPr>
          <w:rFonts w:ascii="Barlow Semi Condensed" w:cs="Barlow Semi Condensed" w:eastAsia="Barlow Semi Condensed" w:hAnsi="Barlow Semi Condensed"/>
          <w:sz w:val="24"/>
          <w:szCs w:val="24"/>
        </w:rPr>
        <w:t xml:space="preserve">Il decennio turco di Angelo Giuseppe Roncalli, futuro Giovanni XXIII, è la radice storica riconosciuta del rapporto contemporaneo fra Santa Sede e Turchia e la matrice — sul piano della memoria e delle relazioni personali e istituzionali — dell'istituzione delle relazioni diplomatiche del 1960. Sulla data della nomina le fonti divergono, e la divergenza va mantenuta: la biografia diffusa da storiologia.it indica la nomina a delegato apostolico in Turchia al 24 novembre 1934; Storiologia (https://www.storiologia.it/biografie/roncalli.htm) altre fonti, fra cui la scheda del Comune di Padova (padovanet.it), collocano al 1934 la nomina ad arcivescovo titolare di Mesembria con l'incarico di delegato apostolico in Turchia e Grecia e di amministratore apostolico del Vicariato di Istanbul; lo studio di riferimento in lingua inglese, l'articolo di The Journal of Ecclesiastical History del gennaio 1989 (vol. 40, n. 1, pp. 74-99, DOI 10.1017/S0022046900035430), parla di delegato apostolico «from January 1935 to December 1944». Concordano invece le fonti sull'arrivo a Istanbul, proveniente da Sofia, il 5 gennaio 1935, Gariwo (https://it.gariwo.net/dl/202005180612_A.pdf) e sulla conclusione dell'incarico alla fine del 1944, con la partenza per la nunziatura di Francia (il 27 dicembre 1944 secondo storiologia.it, che riferisce anche del telegramma cifrato del cardinal Tardini ricevuto il 6 dicembre). Storiologia (https://www.storiologia.it/biografie/roncalli.htm)</w:t>
      </w:r>
    </w:p>
    <w:p>
      <w:pPr>
        <w:spacing w:after="120" w:line="276"/>
        <w:jc w:val="both"/>
      </w:pPr>
      <w:r>
        <w:rPr>
          <w:rFonts w:ascii="Barlow Semi Condensed" w:cs="Barlow Semi Condensed" w:eastAsia="Barlow Semi Condensed" w:hAnsi="Barlow Semi Condensed"/>
          <w:sz w:val="24"/>
          <w:szCs w:val="24"/>
        </w:rPr>
        <w:t xml:space="preserve">La condizione della comunità cattolica di Istanbul in quegli anni è descritta concordemente come esigua e frazionata nei diversi riti: le fonti oscillano fra le trentamila unità «al suo arrivo nel '35» indicate da Terrasanta.net Terrasanta (https://www.terrasanta.net/2014/03/il-decennio-turco-di-monsignor-roncalli/) e le trentacinquemila indicate da ladiscussione.com, La Discussione (https://ladiscussione.com/130659/cultura/roncalli-a-istanbul/) con tendenza alla diminuzione nel tempo. Roncalli operò in un contesto segnato dalla laicizzazione kemalista: la Repubblica di Atatürk non riconosceva ufficialmente la rappresentanza pontificia, sicché egli si muoveva con discrezione, presentandosi agli uffici di polizia per ottenere i documenti. La Discussione (https://ladiscussione.com/130659/cultura/roncalli-a-istanbul/) Fra le sue scelte pastorali più innovative e più documentate vi è l'introduzione della lingua turca nella liturgia e nelle comunicazioni della diocesi: la Comunità di Sant'Egidio, per voce di Valeria Martano curatrice dei suoi diari, colloca l'iniziativa «fin dal 1935»; Zenit (https://it.zenit.org/2010/12/01/il-metodo-roncalli-nell-incontro-tra-oriente-e-occidente/) ladiscussione.com la data «già dal gennaio del 1936» per preghiere e canti; La Discussione (https://ladiscussione.com/130659/cultura/roncalli-a-istanbul/) terrasanta.net riferisce della lettura del Vangelo in turco nel 1938. Su questa cronologia interna le fonti dunque divergono e la divergenza è qui mantenuta. L'iniziativa suscitò consensi nell'ambiente musulmano e contestazioni nella comunità cattolica occidentale, soprattutto francese, che si considerava prima destinataria delle cure pastorali. Quando una legge turca proibì l'uso dell'abito religioso in pubblico, Roncalli si adeguò, annotando con nota ironica — riportata da zenit.org — che il provvedimento favoriva i contatti con i capi religiosi ortodossi e musulmani. Zenit (https://it.zenit.org/2010/12/01/il-metodo-roncalli-nell-incontro-tra-oriente-e-occidente/)</w:t>
      </w:r>
    </w:p>
    <w:p>
      <w:pPr>
        <w:spacing w:after="120" w:line="276"/>
        <w:jc w:val="both"/>
      </w:pPr>
      <w:r>
        <w:rPr>
          <w:rFonts w:ascii="Barlow Semi Condensed" w:cs="Barlow Semi Condensed" w:eastAsia="Barlow Semi Condensed" w:hAnsi="Barlow Semi Condensed"/>
          <w:sz w:val="24"/>
          <w:szCs w:val="24"/>
        </w:rPr>
        <w:t xml:space="preserve">Il capitolo più noto del decennio è l'assistenza ai profughi ebrei durante la Seconda guerra mondiale. Le fonti concordano nel valore dell'azione e nel suo carattere personale e riservato; la cifra ricorrente è quella di circa venticinquemila ebrei «concretamente aiutati», come riportano storiologia.it e altre fonti, con la consueta cautela che simili stime comportano. Roncalli si avvalse dei suoi rapporti con l'ambasciatore tedesco a Istanbul Franz von Papen, cattolico ed ex cancelliere del Reich: l'Avvenire (avvenire.it), citando testimonianze fra cui quella resa da von Papen al processo di Norimberga, riferisce che migliaia di ebrei furono salvati anche grazie alle formalità amministrative alle quali l'ambasciatore finì per piegarsi sotto la pressione di Roncalli. La ricerca condotta dalla Fondazione Wallenberg e dal Comitato Roncalli è citata per l'invio di certificati e visti di transito, con interventi estesi a ebrei di Slovacchia, Bulgaria e Ungheria. Si segnala, quale limite documentale rilevante e già indicato da Rinaldo Marmara, che la documentazione del quinquennio 1940-1945 non è pienamente consultabile, circostanza che sarà ripresa al Capitolo XII. Il rilievo di questa stagione per i rapporti successivi è attestato dalla memoria pubblica turca — la «Papa Roncalli Sokak» a Istanbul, la statua inaugurata da Benedetto XVI — e dalla stessa Santa Sede, che nel discorso di Paolo VI al nuovo ambasciatore di Turchia del 19 gennaio 1967 (vatican.va) collega esplicitamente l'avvio delle relazioni diplomatiche al pontificato di Giovanni XXIII.</w:t>
      </w:r>
    </w:p>
    <w:p>
      <w:pPr>
        <w:spacing w:after="120" w:line="276"/>
        <w:jc w:val="both"/>
      </w:pPr>
      <w:r>
        <w:rPr>
          <w:rFonts w:ascii="Barlow Semi Condensed" w:cs="Barlow Semi Condensed" w:eastAsia="Barlow Semi Condensed" w:hAnsi="Barlow Semi Condensed"/>
          <w:sz w:val="24"/>
          <w:szCs w:val="24"/>
        </w:rPr>
        <w:t xml:space="preserve">CAPITOLO VII — La visita di Giovanni Paolo II in Turchia (28-30 novembre 1979)</w:t>
      </w:r>
    </w:p>
    <w:p>
      <w:pPr>
        <w:spacing w:after="120" w:line="276"/>
        <w:jc w:val="both"/>
      </w:pPr>
      <w:r>
        <w:rPr>
          <w:rFonts w:ascii="Barlow Semi Condensed" w:cs="Barlow Semi Condensed" w:eastAsia="Barlow Semi Condensed" w:hAnsi="Barlow Semi Condensed"/>
          <w:sz w:val="24"/>
          <w:szCs w:val="24"/>
        </w:rPr>
        <w:t xml:space="preserve">Il viaggio apostolico di Giovanni Paolo II in Turchia dal 28 al 30 novembre 1979 è documentato in modo esaustivo dalle fonti ufficiali della Santa Sede (vatican.va). Nel discorso alla partenza del 28 novembre 1979 il pontefice dichiarò di recarsi in Turchia «seguendo le orme del mio Predecessore Paolo VI che alla fine del mese di luglio del 1967 andò in Turchia», per continuare lo sforzo verso l'unità dei cristiani e per mostrare «l'importanza che la Chiesa cattolica dà al rapporto con le venerabili Chiese ortodosse alla vigilia dell'inizio di un dialogo teologico». Il programma prevedeva l'omaggio alle autorità della Repubblica ad Ankara, l'incontro a Istanbul con il patriarca ecumenico Dimitrios I e la partecipazione alle celebrazioni per la festa di Sant'Andrea. Ad Ankara il papa si rivolse alla comunità cattolica ricordandone la condizione di «piccola minoranza in queste terre»; Vatican News (https://www.vaticannews.va/it/papa/news/2025-11/viaggi-apostolici-papi-turchia.html) a Istanbul, il 29 novembre, celebrò nella Cattedrale dello Spirito Santo e incontrò anche il patriarca armeno Shnorhk Kalustian e la comunità armeno-cattolica.</w:t>
      </w:r>
    </w:p>
    <w:p>
      <w:pPr>
        <w:spacing w:after="120" w:line="276"/>
        <w:jc w:val="both"/>
      </w:pPr>
      <w:r>
        <w:rPr>
          <w:rFonts w:ascii="Barlow Semi Condensed" w:cs="Barlow Semi Condensed" w:eastAsia="Barlow Semi Condensed" w:hAnsi="Barlow Semi Condensed"/>
          <w:sz w:val="24"/>
          <w:szCs w:val="24"/>
        </w:rPr>
        <w:t xml:space="preserve">Il momento culminante fu, il 29 e 30 novembre, l'incontro con Dimitrios I al Fanar. Nel discorso del 29 novembre 1979 Giovanni Paolo II salutò il patriarca e il Santo Sinodo e, come egli stesso avrebbe rievocato nell'omelia del 6 dicembre 1987 (vatican.va), poté allora «annunciare insieme che l'inizio del dialogo teologico tra la Chiesa cattolica e la Chiesa ortodossa era imminente» e rendere pubblici i nomi dei membri della Commissione mista incaricata del dialogo. Il 30 novembre 1979, in occasione della festa di Sant'Andrea, fu dunque proclamato l'avvio del dialogo teologico ufficiale cattolico-ortodosso; il discorso di conclusione del pellegrinaggio, sempre del 30 novembre, ringrazia «il Signor Ministro degli Interni, Onorevole Virginio Rognoni» — presente in rappresentanza del governo italiano — e le autorità turche. Va rilevato, sul piano della memoria del rapporto, che il papa richiamò espressamente l'eredità di Paolo VI e di Atenagora I e il loro desiderio di «bere nello stesso calice», ancora irrealizzato per l'impossibilità della concelebrazione, definita «il segno più doloroso del danno prodotto dalla divisione».</w:t>
      </w:r>
    </w:p>
    <w:p>
      <w:pPr>
        <w:spacing w:after="120" w:line="276"/>
        <w:jc w:val="both"/>
      </w:pPr>
      <w:r>
        <w:rPr>
          <w:rFonts w:ascii="Barlow Semi Condensed" w:cs="Barlow Semi Condensed" w:eastAsia="Barlow Semi Condensed" w:hAnsi="Barlow Semi Condensed"/>
          <w:sz w:val="24"/>
          <w:szCs w:val="24"/>
        </w:rPr>
        <w:t xml:space="preserve">Il collegamento fra questo capitolo e il nodo prioritario è di natura cronologica e va trattato con la massima cautela metodologica: la lettera minatoria di Ağca del 27 novembre 1979 fu inviata proprio in occasione di questo viaggio, che tuttavia si svolse senza incidenti. La contemporaneità fra la minaccia e il viaggio è un fatto; essa non stabilisce di per sé alcun nesso causale con l'attentato del 1981, avvenuto a diciotto mesi di distanza e in altro luogo. La minaccia del 1979 e l'attentato del 1981 sono legati dalla persona dell'attentatore e dalla continuità del suo proposito dichiarato — come Ağca stesso avrebbe poi affermato rinviando alle «motivazioni» espresse nel 1979 — ma la ricostruzione delle cause e degli eventuali mandanti dell'attacco del 1981 resta quella, giudizialmente non conclusiva, esposta al Capitolo IV.</w:t>
      </w:r>
    </w:p>
    <w:p>
      <w:pPr>
        <w:spacing w:after="120" w:line="276"/>
        <w:jc w:val="both"/>
      </w:pPr>
      <w:r>
        <w:rPr>
          <w:rFonts w:ascii="Barlow Semi Condensed" w:cs="Barlow Semi Condensed" w:eastAsia="Barlow Semi Condensed" w:hAnsi="Barlow Semi Condensed"/>
          <w:sz w:val="24"/>
          <w:szCs w:val="24"/>
        </w:rPr>
        <w:t xml:space="preserve">CAPITOLO VIII — Il patriarcato ecumenico e il dialogo cattolico-ortodosso (1964-1985)</w:t>
      </w:r>
    </w:p>
    <w:p>
      <w:pPr>
        <w:spacing w:after="120" w:line="276"/>
        <w:jc w:val="both"/>
      </w:pPr>
      <w:r>
        <w:rPr>
          <w:rFonts w:ascii="Barlow Semi Condensed" w:cs="Barlow Semi Condensed" w:eastAsia="Barlow Semi Condensed" w:hAnsi="Barlow Semi Condensed"/>
          <w:sz w:val="24"/>
          <w:szCs w:val="24"/>
        </w:rPr>
        <w:t xml:space="preserve">Il dialogo cattolico-ortodosso costituisce, insieme al decennio roncalliano, la spina dorsale positiva del rapporto Santa Sede-Turchia nel Novecento, poiché il Patriarcato ecumenico ha sede a Istanbul. La cronologia è saldamente documentata dalle fonti ufficiali. L'incontro di Gerusalemme fra Paolo VI e il patriarca Atenagora I ebbe luogo il 5 gennaio 1964 sul Monte degli Ulivi: fu, come sintetizza Vatican News, il primo atto ufficiale congiunto delle due Chiese dallo scisma del 1054. La Dichiarazione comune cattolico-ortodossa fu letta simultaneamente il 7 dicembre 1965, nella sessione solenne del Concilio Vaticano II a Roma e nella cattedrale patriarcale del Fanar a Istanbul: essa precisò che le scomuniche del 1054 fra Leone IX e Michele Cerulario riguardavano le persone e non le Chiese, e dispose di «cancellare dalla memoria e dal seno della Chiesa» quelle sentenze. Il percorso preparatorio è documentato: nell'aprile 1965 una delegazione romana composta dai cardinali Willebrands e Bea si recò a Istanbul; il 9 ottobre 1965, durante l'udienza al metropolita Emilianos Timiadis, fu decisa la costituzione di una commissione mista (orientecristiano.it).</w:t>
      </w:r>
    </w:p>
    <w:p>
      <w:pPr>
        <w:spacing w:after="120" w:line="276"/>
        <w:jc w:val="both"/>
      </w:pPr>
      <w:r>
        <w:rPr>
          <w:rFonts w:ascii="Barlow Semi Condensed" w:cs="Barlow Semi Condensed" w:eastAsia="Barlow Semi Condensed" w:hAnsi="Barlow Semi Condensed"/>
          <w:sz w:val="24"/>
          <w:szCs w:val="24"/>
        </w:rPr>
        <w:t xml:space="preserve">Seguirono le visite reciproche: Paolo VI si recò a Istanbul, Efeso e Smirne dal 25 al 26 luglio 1967, rivedendo Atenagora nella chiesa patriarcale di San Giorgio il 25 luglio; il 26 ottobre 1967 (una fonte scrive «ottobre 1967») Atenagora giunse a Roma, con solenne celebrazione in San Pietro. Atenagora I morì nel luglio 1972 — sul giorno preciso le fonti già acquisite divergono fra il 6 e il 7 luglio, divergenza qui mantenuta — e gli succedette Dimitrios I. Sotto il pontificato di Giovanni Paolo II, come esposto al Capitolo VII, l'incontro al Fanar del novembre 1979 avviò il dialogo teologico. La Commissione mista internazionale per il dialogo teologico tra la Chiesa cattolica e la Chiesa ortodossa tenne la prima sessione plenaria nel 1980 nelle isole greche di Patmos e Rodi: Diocesichieti (https://www.diocesichieti.it/sessione-plenaria-per-il-dialogo-teologico-tra-la-chiesa-cattolica-e-le-chiese-ortodosse/) l'Osservatore Romano ne precisa le date, dal 29 maggio al 4 giugno 1980, con inizio a Patmos; L'Osservatore Romano (https://www.osservatoreromano.va/it/news/2020-11/quo-273/dialogo-sulla-chiesa.html) già nella sessione inaugurale, come ricorda un intervento pubblicato dal CCEE, alcuni delegati ortodossi obiettarono alla presenza dei rappresentanti delle Chiese cattoliche orientali. Ccee (https://www.ccee.eu/wp-content/uploads/sites/2/2019/09/Intervento-Rev.-Bouwen.pdf) Il primo frutto documentale del dialogo fu, come ricordò Giovanni Paolo II nel discorso al Sacro Collegio del 28 giugno 1985 (vatican.va), «un documento redatto in comune sul mistero della Chiesa e dell'Eucaristia alla luce del mistero della Santissima Trinità».</w:t>
      </w:r>
    </w:p>
    <w:p>
      <w:pPr>
        <w:spacing w:after="120" w:line="276"/>
        <w:jc w:val="both"/>
      </w:pPr>
      <w:r>
        <w:rPr>
          <w:rFonts w:ascii="Barlow Semi Condensed" w:cs="Barlow Semi Condensed" w:eastAsia="Barlow Semi Condensed" w:hAnsi="Barlow Semi Condensed"/>
          <w:sz w:val="24"/>
          <w:szCs w:val="24"/>
        </w:rPr>
        <w:t xml:space="preserve">Accanto a questa cronologia ecumenica va collocata la condizione del Patriarcato nell'ordinamento turco, che ne segna il limite strutturale e collega questo capitolo alla questione delle minoranze. Il governo turco richiede che il patriarca ecumenico e i membri del Santo Sinodo siano cittadini turchi, requisito che numerose fonti — fra cui gli interventi in sede OSCE ripresi da lafiaccola.it — qualificano come interferenza inaccettabile con il processo elettorale interno del Patriarcato. La formazione del clero ortodosso resta compromessa dalla chiusura della Scuola teologica di Halki, di cui si tratta al Capitolo IX. Nel periodo qui considerato (fino al 1985) la questione di Halki era già aperta ma non risolta, e non risulta dalle fonti reperite che essa sia stata oggetto di una trattazione formale nelle sedi del dialogo teologico, che manteneva un carattere dottrinale e non giurisdizionale; questa è una lacuna che il capitolo dichiara e che andrebbe verificata negli archivi del Patriarcato e della Segreteria di Stato.</w:t>
      </w:r>
    </w:p>
    <w:p>
      <w:pPr>
        <w:spacing w:after="120" w:line="276"/>
        <w:jc w:val="both"/>
      </w:pPr>
      <w:r>
        <w:rPr>
          <w:rFonts w:ascii="Barlow Semi Condensed" w:cs="Barlow Semi Condensed" w:eastAsia="Barlow Semi Condensed" w:hAnsi="Barlow Semi Condensed"/>
          <w:sz w:val="24"/>
          <w:szCs w:val="24"/>
        </w:rPr>
        <w:t xml:space="preserve">CAPITOLO IX — Le comunità cattoliche di Turchia, il loro statuto e il Trattato di Losanna</w:t>
      </w:r>
    </w:p>
    <w:p>
      <w:pPr>
        <w:spacing w:after="120" w:line="276"/>
        <w:jc w:val="both"/>
      </w:pPr>
      <w:r>
        <w:rPr>
          <w:rFonts w:ascii="Barlow Semi Condensed" w:cs="Barlow Semi Condensed" w:eastAsia="Barlow Semi Condensed" w:hAnsi="Barlow Semi Condensed"/>
          <w:sz w:val="24"/>
          <w:szCs w:val="24"/>
        </w:rPr>
        <w:t xml:space="preserve">Lo statuto giuridico delle comunità cattoliche di Turchia è determinato in modo decisivo, e in senso restrittivo, dal Trattato di Losanna del 24 luglio 1923, firmato fra la Turchia e le potenze dell'Intesa. Il trattato pose fine alla guerra greco-turca, ridisegnò i confini stabiliti dal Trattato di Sèvres, sancì la rinuncia turca a Cipro e ad altri territori e legittimò lo scambio di popolazioni fra Grecia e Turchia. La sezione dedicata ai diritti delle minoranze è contenuta nella parte prima, sezione terza, articoli 37-45. L'interpretazione consolidata dalle autorità turche riconosce come minoranze non musulmane soltanto i greco-ortodossi, gli armeni e gli ebrei; ne restano esclusi i cattolici latini, i caldei e i siro-cattolici. La conseguenza pratica di tale esclusione è documentata con nettezza dalla pubblicistica confessionale: come riferisce funerali.org a proposito del decreto turco di restituzione dei beni alle fondazioni religiose, «nulla tornerà invece ai cattolici latini, perché questi non compaiono tra le minoranze religiose indicate nel Trattato di Losanna del 1923», Funerali (https://www.funerali.org/cimiteri/in-turchia-restituiti-tra-laltro-alle-minoranze-religiose-la-gestione-di-loro-cimiteri-2-42724.html) mentre benefici della restituzione risultavano i greco-ortodossi, gli armeni, i caldei cattolici e gli ebrei.</w:t>
      </w:r>
    </w:p>
    <w:p>
      <w:pPr>
        <w:spacing w:after="120" w:line="276"/>
        <w:jc w:val="both"/>
      </w:pPr>
      <w:r>
        <w:rPr>
          <w:rFonts w:ascii="Barlow Semi Condensed" w:cs="Barlow Semi Condensed" w:eastAsia="Barlow Semi Condensed" w:hAnsi="Barlow Semi Condensed"/>
          <w:sz w:val="24"/>
          <w:szCs w:val="24"/>
        </w:rPr>
        <w:t xml:space="preserve">L'articolazione della Chiesa cattolica in Turchia comprende, secondo le fonti ufficiali e la pubblicistica confessionale, il Vicariato apostolico di Istanbul, l'Arcidiocesi di Smirne (İzmir), il Vicariato apostolico dell'Anatolia, l'Arcieparchia armeno-cattolica di Istanbul, le comunità caldea e siro-cattolica e l'Esarcato apostolico per i cattolici di rito bizantino. Sulle consistenze numeriche le fonti divergono e la divergenza è qui mantenuta, coerentemente con l'acquisizione anteriore che oscillava fra venticinquemila-trentamila e sessantamila fedeli: SettimanaNews, riferendosi al rito latino, indica per epoca recente oltre 1.300 fedeli a Smirne, quindicimila nel Vicariato di Istanbul e circa 1.500 nell'Anatolia; SettimanaNews (https://www.settimananews.it/ecumenismo-dialogo/chiesa-latina-turchia-dal-dentro/) la voce enciclopedica sulle minoranze in Turchia stima i cattolici complessivi «circa 35.000, pari allo 0,05% della popolazione», con fedeli di rito latino, bizantino, armeno e caldeo. Alegsaonline (https://it.alegsaonline.com/art/65294) Wikipedia in italiano ricorda che nel XIX secolo, grazie all'influsso francese, quattro Chiese cattoliche — armeno-cattolica, caldea, greco-melchita e sira — avevano ottenuto sotto gli Ottomani lo statuto di millet; la rivoluzione kemalista, sopprimendo il sistema del millet, rimosse quella tutela.</w:t>
      </w:r>
    </w:p>
    <w:p>
      <w:pPr>
        <w:spacing w:after="120" w:line="276"/>
        <w:jc w:val="both"/>
      </w:pPr>
      <w:r>
        <w:rPr>
          <w:rFonts w:ascii="Barlow Semi Condensed" w:cs="Barlow Semi Condensed" w:eastAsia="Barlow Semi Condensed" w:hAnsi="Barlow Semi Condensed"/>
          <w:sz w:val="24"/>
          <w:szCs w:val="24"/>
        </w:rPr>
        <w:t xml:space="preserve">Il regime giuridico delle fondazioni (vakıf) e la questione delle proprietà ecclesiastiche costituiscono il terreno concreto su cui l'esclusione dei cattolici latini produce effetti: mancando il riconoscimento come minoranza, essi non godono delle tutele patrimoniali riconosciute alle tre minoranze «di Losanna», e le loro proprietà — monasteri, parrocchie — hanno storicamente sofferto della mancata personalità giuridica. La posizione della Santa Sede sull'esclusione, per il periodo 1969-1985 qui considerato, non emerge dalle fonti reperite in forma di un atto formale e specifico di protesta: le rivendicazioni documentate — in sede europea e per voce del Patriarcato ecumenico circa i «beni usurpati» — appartengono per lo più a epoca successiva. Si tratta quindi, per il perimetro cronologico prioritario, di un capitolo la cui base documentale è solida sul dato giuridico (il testo e l'interpretazione del Trattato di Losanna) ma più esile sull'azione diplomatica della Santa Sede nel quindicennio, e come tale viene onestamente dichiarato: la sede naturale di accertamento è l'archivio della Segreteria di Stato, sezione Rapporti con gli Stati, per il pontificato di Paolo VI, non ancora aperto (Capitolo XII).</w:t>
      </w:r>
    </w:p>
    <w:p>
      <w:pPr>
        <w:spacing w:after="120" w:line="276"/>
        <w:jc w:val="both"/>
      </w:pPr>
      <w:r>
        <w:rPr>
          <w:rFonts w:ascii="Barlow Semi Condensed" w:cs="Barlow Semi Condensed" w:eastAsia="Barlow Semi Condensed" w:hAnsi="Barlow Semi Condensed"/>
          <w:sz w:val="24"/>
          <w:szCs w:val="24"/>
        </w:rPr>
        <w:t xml:space="preserve">CAPITOLO X — La Santa Sede, la Turchia e la Conferenza sulla sicurezza e la cooperazione in Europa</w:t>
      </w:r>
    </w:p>
    <w:p>
      <w:pPr>
        <w:spacing w:after="120" w:line="276"/>
        <w:jc w:val="both"/>
      </w:pPr>
      <w:r>
        <w:rPr>
          <w:rFonts w:ascii="Barlow Semi Condensed" w:cs="Barlow Semi Condensed" w:eastAsia="Barlow Semi Condensed" w:hAnsi="Barlow Semi Condensed"/>
          <w:sz w:val="24"/>
          <w:szCs w:val="24"/>
        </w:rPr>
        <w:t xml:space="preserve">La partecipazione della Santa Sede alla Conferenza sulla sicurezza e la cooperazione in Europa segna un episodio di rilievo storico e ben documentato. Le fonti ufficiali e la storiografia concordano: fu la prima volta, dopo il Congresso di Vienna del 1815, che la Santa Sede partecipava come membro a pieno titolo (full member) a un congresso di Stati, come dichiarato dal cardinale Achille Silvestrini e ripreso dall'Osservatore Romano e da settimananews.it. La delegazione fu guidata dall'arcivescovo Agostino Casaroli, segretario del Consiglio per gli affari pubblici della Chiesa, e da Achille Silvestrini, allora sottosegretario del medesimo Consiglio (divenuto segretario nel 1979); la voce del Dizionario Biografico Treccani su Casaroli conferma che la Santa Sede partecipò «fin dalle riunioni preparatorie, come full member».</w:t>
      </w:r>
    </w:p>
    <w:p>
      <w:pPr>
        <w:spacing w:after="120" w:line="276"/>
        <w:jc w:val="both"/>
      </w:pPr>
      <w:r>
        <w:rPr>
          <w:rFonts w:ascii="Barlow Semi Condensed" w:cs="Barlow Semi Condensed" w:eastAsia="Barlow Semi Condensed" w:hAnsi="Barlow Semi Condensed"/>
          <w:sz w:val="24"/>
          <w:szCs w:val="24"/>
        </w:rPr>
        <w:t xml:space="preserve">Il contributo più caratteristico della diplomazia pontificia riguardò la libertà religiosa. Silvestrini ha rievocato più volte «l'emozione con cui il 7 marzo 1973 presentammo, nell'ambito dei principi che dovevano reggere i rapporti fra gli Stati, una proposta sulla libertà religiosa, ricordando che nella storia d'Europa esisteva una comune cultura, quella cristiana»; Vatican News (https://www.vaticannews.va/it/mondo/news/2022-04/conferenza-helsinki-1975-europa-guerra-fredda-eredita-pace.html) la proposta, accolta secondo il racconto dello stesso Silvestrini «come una bomba», confluì nel settimo principio dell'Atto finale, che afferma il rispetto dei diritti dell'uomo e delle libertà fondamentali, inclusa la libertà di pensiero, coscienza, religione o credo. Treccani (https://www.treccani.it/enciclopedia/agostino-casaroli_(Dizionario-Biografico)/) L'Atto finale di Helsinki fu firmato il 1° agosto 1975 da trentacinque Stati partecipanti. Vi apposero la firma la Santa Sede, la Turchia e, per l'Italia, Aldo Moro nella duplice qualità di presidente del Consiglio e presidente di turno della Comunità europea, come già stabilito e come confermano le fonti sul ruolo comunitario di Moro nel 1975. La convergenza delle tre firme — Santa Sede, Turchia, Italia di Moro — sullo stesso documento internazionale è il punto di intersezione più netto e documentato fra i tre oggetti di questa ricognizione nel perimetro cronologico considerato, e ne costituisce una delle triangolazioni certe.</w:t>
      </w:r>
    </w:p>
    <w:p>
      <w:pPr>
        <w:spacing w:after="120" w:line="276"/>
        <w:jc w:val="both"/>
      </w:pPr>
      <w:r>
        <w:rPr>
          <w:rFonts w:ascii="Barlow Semi Condensed" w:cs="Barlow Semi Condensed" w:eastAsia="Barlow Semi Condensed" w:hAnsi="Barlow Semi Condensed"/>
          <w:sz w:val="24"/>
          <w:szCs w:val="24"/>
        </w:rPr>
        <w:t xml:space="preserve">Restano invece da accertare, e sono qui dichiarati come lacune, due punti specificamente richiesti. In primo luogo, non risulta dalle fonti reperite che la questione delle minoranze cristiane in Turchia e la chiusura di Halki siano state sollevate formalmente dalla delegazione vaticana o da altra delegazione nella sede della Conferenza del 1975 o nelle successive riunioni «di seguito» (Belgrado, Madrid): il tema della libertà religiosa fu posto dalla Santa Sede in termini generali e principalmente in funzione della condizione dei cattolici nei Paesi del blocco orientale, secondo la logica dell'Ostpolitik, non come rivendicazione puntuale verso Ankara. In secondo luogo, la posizione turca sui principi relativi ai diritti umani e alle minoranze in quella sede non è documentata, nelle fonti qui raccolte, con la specificità necessaria. Entrambe le lacune sono riportate al Capitolo XII con l'indicazione delle sedi di accertamento, che comprendono gli atti della CSCE, l'archivio della Segreteria di Stato e gli archivi diplomatici turchi.</w:t>
      </w:r>
    </w:p>
    <w:p>
      <w:pPr>
        <w:spacing w:after="120" w:line="276"/>
        <w:jc w:val="both"/>
      </w:pPr>
      <w:r>
        <w:rPr>
          <w:rFonts w:ascii="Barlow Semi Condensed" w:cs="Barlow Semi Condensed" w:eastAsia="Barlow Semi Condensed" w:hAnsi="Barlow Semi Condensed"/>
          <w:sz w:val="24"/>
          <w:szCs w:val="24"/>
        </w:rPr>
        <w:t xml:space="preserve">CAPITOLO XI — La posizione italiana sulle minoranze cristiane, sul Patriarcato e sulla comunità italiana di Istanbul e Smirne</w:t>
      </w:r>
    </w:p>
    <w:p>
      <w:pPr>
        <w:spacing w:after="120" w:line="276"/>
        <w:jc w:val="both"/>
      </w:pPr>
      <w:r>
        <w:rPr>
          <w:rFonts w:ascii="Barlow Semi Condensed" w:cs="Barlow Semi Condensed" w:eastAsia="Barlow Semi Condensed" w:hAnsi="Barlow Semi Condensed"/>
          <w:sz w:val="24"/>
          <w:szCs w:val="24"/>
        </w:rPr>
        <w:t xml:space="preserve">Questo capitolo raccoglie un obiettivo che si è risolto in larga parte in un esito negativo, il quale — come richiesto — viene dichiarato con la massima chiarezza e con l'indicazione della sede di accertamento, in quanto acquisizione di pieno valore. Il committente chiedeva di verificare se il governo italiano, e in particolare la Farnesina di Moro, avesse assunto posizioni documentate sulla condizione delle minoranze cristiane in Turchia, sulla chiusura di Halki del 1971 o sullo statuto del Patriarcato ecumenico, e se vi fossero stati contatti fra la Farnesina e la Segreteria di Stato su tali materie. Nelle fonti reperibili in questa ricognizione non emerge alcuna presa di posizione italiana specifica e documentata su questi punti nel periodo 1969-1975. La documentazione disponibile sulla politica estera di Moro verso la Turchia la colloca, come esposto al Capitolo II, nel quadro comunitario e mediterraneo; la questione confessionale non vi compare. Ciò non significa che tale posizione non esista negli archivi: significa che essa non è, allo stato, documentata dalle fonti edite e accessibili, e che la sua verifica va condotta presso l'Archivio Storico Diplomatico del Ministero degli Affari Esteri, serie Turchia e serie Santa Sede 1969-1975, e presso l'archivio della Segreteria di Stato per il pontificato di Paolo VI, quest'ultimo non ancora aperto.</w:t>
      </w:r>
    </w:p>
    <w:p>
      <w:pPr>
        <w:spacing w:after="120" w:line="276"/>
        <w:jc w:val="both"/>
      </w:pPr>
      <w:r>
        <w:rPr>
          <w:rFonts w:ascii="Barlow Semi Condensed" w:cs="Barlow Semi Condensed" w:eastAsia="Barlow Semi Condensed" w:hAnsi="Barlow Semi Condensed"/>
          <w:sz w:val="24"/>
          <w:szCs w:val="24"/>
        </w:rPr>
        <w:t xml:space="preserve">Diverso è lo statuto documentale della comunità italiana di Istanbul e Smirne, che le fonti diplomatiche e culturali italiane qualificano come la più antica collettività italiana all'estero. La Treccani (magazine della lingua italiana) la descrive come «la più antica comunità storica italofona all'estero», radicata nel Mediterraneo orientale «dai tempi delle Crociate e delle Repubbliche marinare», discendente dai coloni genovesi e veneziani; la stessa fonte documenta la dispersione della comunità levantina di Smirne fra le due guerre e l'ulteriore emigrazione da Istanbul dopo i disordini del 1955. Un contributo del CeSPI (brief n. 62, di Imparato) ricostruisce la storia della «comunità italofona e levantina di Istanbul», comprese le ondate migratorie ottocentesche di esuli politici meridionali Cespi (https://www.cespi.it/sites/default/files/osservatori/allegati/brief_62_comunita_levantina_di_istanbul_imparato.pdf) e l'impatto della guerra italo-turca del 1911-1912 e della Prima guerra mondiale come spartiacque demografico. Il rapporto di questa collettività con le parrocchie latine di Istanbul — quelle stesse comunità di rito latino escluse dalle tutele di Losanna (Capitolo IX) — è dunque storicamente strettissimo, poiché le parrocchie latine costituivano il riferimento religioso naturale dei levantini di origine italiana. Tuttavia, la connessione fra la tutela consolare italiana della comunità e la sorte giuridica delle parrocchie latine non risulta documentata, nelle fonti reperite, in forma di un'azione coordinata della Farnesina nel periodo qui considerato. Anche questo è un punto la cui verifica va rinviata all'archivio diplomatico italiano. Il capitolo è pertanto più breve degli altri e ne dichiara la ragione: la base documentale edita sostiene con forza il dato dell'antichità e della consistenza storica della comunità italiana, ma non l'esistenza di una politica confessionale italiana verso la Turchia riconducibile a Moro.</w:t>
      </w:r>
    </w:p>
    <w:p>
      <w:pPr>
        <w:spacing w:after="120" w:line="276"/>
        <w:jc w:val="both"/>
      </w:pPr>
      <w:r>
        <w:rPr>
          <w:rFonts w:ascii="Barlow Semi Condensed" w:cs="Barlow Semi Condensed" w:eastAsia="Barlow Semi Condensed" w:hAnsi="Barlow Semi Condensed"/>
          <w:sz w:val="24"/>
          <w:szCs w:val="24"/>
        </w:rPr>
        <w:t xml:space="preserve">CAPITOLO XII — Gli archivi, le fonti desecretate e la tavola discorsiva delle acquisizioni non conseguite</w:t>
      </w:r>
    </w:p>
    <w:p>
      <w:pPr>
        <w:spacing w:after="120" w:line="276"/>
        <w:jc w:val="both"/>
      </w:pPr>
      <w:r>
        <w:rPr>
          <w:rFonts w:ascii="Barlow Semi Condensed" w:cs="Barlow Semi Condensed" w:eastAsia="Barlow Semi Condensed" w:hAnsi="Barlow Semi Condensed"/>
          <w:sz w:val="24"/>
          <w:szCs w:val="24"/>
        </w:rPr>
        <w:t xml:space="preserve">Lo stato di accessibilità degli archivi condiziona in modo decisivo il grado di accertamento raggiungibile su ciascun oggetto di questa ricognizione, e va esposto con precisione. L'Archivio Apostolico Vaticano — già Archivio Segreto Vaticano, ridenominato da papa Francesco con il motu proprio L'esperienza storica del 22 ottobre 2019 — è consultabile, secondo la prassi dell'apertura per interi pontificati decisa di volta in volta dal Sommo Pontefice, fino all'ottobre 1958, data della morte di Pio XII, il cui pontificato è stato aperto alla consultazione da papa Francesco a partire dal marzo 2020 (vaticannews.va; archivioapostolicovaticano.va). Ne consegue un dato decisivo per questa ricerca: la documentazione dei pontificati di Giovanni XXIII, Paolo VI e Giovanni Paolo II — e quindi l'intera documentazione vaticana relativa al dialogo cattolico-ortodosso post-1958, alle relazioni diplomatiche con la Turchia dal 1960, alla CSCE e all'attentato del 1981 — non è ancora aperta alla consultazione. Anche la documentazione roncalliana del quinquennio 1940-1945, come segnalato da Rinaldo Marmara e ripreso al Capitolo VI, non è pienamente consultabile. La documentazione delle relazioni Santa Sede-Turchia è conservata prevalentemente in italiano e francese, come attestano tanto acistampa.com quanto lo stesso Marmara, che ne ha avviato la catalogazione anche in lingua turca con opere quali «Santa Sede-Turchia. Periodo di Mons. Rotta 1925-1930. Verso le relazioni diplomatiche del 1960».</w:t>
      </w:r>
    </w:p>
    <w:p>
      <w:pPr>
        <w:spacing w:after="120" w:line="276"/>
        <w:jc w:val="both"/>
      </w:pPr>
      <w:r>
        <w:rPr>
          <w:rFonts w:ascii="Barlow Semi Condensed" w:cs="Barlow Semi Condensed" w:eastAsia="Barlow Semi Condensed" w:hAnsi="Barlow Semi Condensed"/>
          <w:sz w:val="24"/>
          <w:szCs w:val="24"/>
        </w:rPr>
        <w:t xml:space="preserve">L'Archivio Storico Diplomatico del Ministero degli Affari Esteri italiano conserva le serie Turchia e Santa Sede rilevanti per il periodo 1969-1975, con l'avvertenza — già accertata nella ricognizione anteriore — dell'esclusione temporanea dei Telegrammi 1942-1970; la Farnesina ha reso accessibili al pubblico l'Archivio Storico Diplomatico e la Biblioteca Esteri (https://italiana.esteri.it/italiana/en/culture/la-farnesina-apre-al-pubblico-la-biblioteca-e-larchivio-storico-diplomatico/) (italiana.esteri.it). Gli archivi diplomatici turchi e l'archivio del Patriarcato ecumenico costituiscono le sedi di accertamento per i versanti turco e patriarcale, non esplorati direttamente in questa ricognizione basata su fonti edite. Sul versante giudiziario e parlamentare italiano dell'attentato del 1981, sono accessibili gli atti della Commissione parlamentare d'inchiesta sul dossier Mitrokhin (parlamento.it): la Commissione, presieduta dal senatore Paolo Guzzanti, produsse un documento conclusivo del presidente che — secondo le fonti — non fu approvato per mancanza del numero legale il 15 marzo 2006, e una relazione conclusiva dei commissari di minoranza (centro-sinistra) depositata il 23 marzo 2006; quest'ultima, pubblicata come mitrokhindoc.377.pdf, contiene la valutazione secondo cui la maggioranza «ha insistito in modo pedissequo sulla "pista bulgara", già percorsa dalla magistratura […] senza però pervenire ad alcun risultato stabile e certo», Parlamento Italiano (https://www.parlamento.it/application/xmanager/projects/parlamento/file/commissione_mitrokhin_14leg/mitrokhindoc.377.pdf) e definisce l'operato della Commissione «uno dei momenti più bassi e umilianti della nostra storia istituzionale». Parlamento Italiano (https://www.parlamento.it/application/xmanager/projects/parlamento/file/commissione_mitrokhin_14leg/mitrokhindoc.377.pdf) I fascicoli processuali dell'attentato sono conservabili presso l'Archivio Centrale dello Stato o la Corte d'assise di Roma. Sul versante statunitense, la CIA FOIA Electronic Reading Room e la collezione CREST contengono valutazioni desecretate sull'attentato, su Ağca, sui Lupi Grigi, su Türkeş e sui servizi bulgari; la raccolta Foreign Relations of the United States, 1981-1988, volume X, documenti 370, 376 e 377, ne riproduce i passi essenziali, la cui conclusione — come esposto al Capitolo IV — non afferma come provata la responsabilità bulgaro-sovietica.</w:t>
      </w:r>
    </w:p>
    <w:p>
      <w:pPr>
        <w:spacing w:after="120" w:line="276"/>
        <w:jc w:val="both"/>
      </w:pPr>
      <w:r>
        <w:rPr>
          <w:rFonts w:ascii="Barlow Semi Condensed" w:cs="Barlow Semi Condensed" w:eastAsia="Barlow Semi Condensed" w:hAnsi="Barlow Semi Condensed"/>
          <w:sz w:val="24"/>
          <w:szCs w:val="24"/>
        </w:rPr>
        <w:t xml:space="preserve">Segue la tavola discorsiva delle acquisizioni documentali necessarie e non conseguite, ordinate per rendimento atteso, ciascuna con la sede e la condizione di chiusura. La prima e di maggior rendimento è la documentazione della Segreteria di Stato, sezione Rapporti con gli Stati, per il pontificato di Paolo VI relativa alla Turchia, alle minoranze cattoliche, a Halki e alla CSCE: la sede è l'Archivio Apostolico Vaticano e l'archivio della Segreteria di Stato; la condizione di chiusura è l'apertura del pontificato di Paolo VI alla consultazione, oggi non ancora disposta. La seconda è la posizione della Farnesina di Moro sulle minoranze cristiane, su Halki e sul Patriarcato, e l'esistenza di contatti con la Segreteria di Stato: la sede è l'Archivio Storico Diplomatico del Ministero degli Affari Esteri, serie Turchia e Santa Sede 1969-1975; la condizione di chiusura è la consultazione diretta dei fascicoli, tenuto conto dell'esclusione dei Telegrammi 1942-1970. La terza è l'eventuale trattazione della questione delle minoranze cristiane turche e di Halki nelle sedi CSCE del 1975 e nelle riunioni di seguito: la sede sono gli atti della CSCE, l'archivio della Segreteria di Stato e gli archivi diplomatici turchi; la condizione di chiusura è lo spoglio sistematico dei verbali. La quarta è la documentazione roncalliana del 1940-1945 sull'assistenza agli ebrei: la sede è l'Archivio Apostolico Vaticano; la condizione di chiusura è l'apertura integrale del fondo. La quinta è la ricostruzione, sul versante turco, delle circostanze dell'evasione di Ağca da Kartal-Maltepe e dei suoi rapporti d'ambiente: la sede sono gli archivi giudiziari turchi; la condizione di chiusura è la loro accessibilità, allo stato non verificata. La sesta, di rendimento più circoscritto ma di interesse per il merito della pista bulgara, è il testo integrale dei documenti CIA solo parzialmente desecretati (le porzioni «not declassified» dei documenti FRUS 370 e 376): la sede è la CIA FOIA Electronic Reading Room; la condizione di chiusura è un'eventuale ulteriore desecretazione. Ciascuna di queste acquisizioni, ove conseguita, sposterebbe il confine fra l'accertato e il non provato; nessuna di esse, allo stato, modifica la conclusione centrale di questa ricognizione, ossia che l'unico nesso pienamente documentato fra Turchia e Vaticano nella serie sia la persona e la traiettoria dell'attentatore, mentre l'individuazione dei mandanti dell'attentato del 1981 resta giudizialmente non provata.</w:t>
      </w:r>
    </w:p>
    <w:p>
      <w:pPr>
        <w:spacing w:after="120" w:line="276"/>
        <w:jc w:val="both"/>
      </w:pPr>
      <w:r>
        <w:rPr>
          <w:rFonts w:ascii="Barlow Semi Condensed" w:cs="Barlow Semi Condensed" w:eastAsia="Barlow Semi Condensed" w:hAnsi="Barlow Semi Condensed"/>
          <w:sz w:val="24"/>
          <w:szCs w:val="24"/>
        </w:rPr>
        <w:t xml:space="preserve">RACCOMANDAZIONI</w:t>
      </w:r>
    </w:p>
    <w:p>
      <w:pPr>
        <w:spacing w:after="120" w:line="276"/>
        <w:jc w:val="both"/>
      </w:pPr>
      <w:r>
        <w:rPr>
          <w:rFonts w:ascii="Barlow Semi Condensed" w:cs="Barlow Semi Condensed" w:eastAsia="Barlow Semi Condensed" w:hAnsi="Barlow Semi Condensed"/>
          <w:sz w:val="24"/>
          <w:szCs w:val="24"/>
        </w:rPr>
        <w:t xml:space="preserve">Sul piano della strategia di ricerca, si raccomanda di procedere per gradi e per rendimento atteso. Il primo passo, immediatamente eseguibile, è lo spoglio sistematico dell'Archivio Storico Diplomatico della Farnesina, serie Turchia e serie Santa Sede 1969-1975, per chiudere l'esito negativo del Capitolo XI: è la fonte più accessibile fra quelle decisive e consentirebbe di stabilire se la mancata emersione di una posizione italiana sulle minoranze cristiane sia un dato reale o un artefatto della sola documentazione edita. La soglia che muterebbe la valutazione è il rinvenimento di anche un solo telegramma o appunto della Farnesina che tratti Halki, il Patriarcato o le parrocchie latine: in tal caso il Capitolo XI andrebbe riscritto da esito negativo a esito positivo.</w:t>
      </w:r>
    </w:p>
    <w:p>
      <w:pPr>
        <w:spacing w:after="120" w:line="276"/>
        <w:jc w:val="both"/>
      </w:pPr>
      <w:r>
        <w:rPr>
          <w:rFonts w:ascii="Barlow Semi Condensed" w:cs="Barlow Semi Condensed" w:eastAsia="Barlow Semi Condensed" w:hAnsi="Barlow Semi Condensed"/>
          <w:sz w:val="24"/>
          <w:szCs w:val="24"/>
        </w:rPr>
        <w:t xml:space="preserve">Il secondo passo è l'interrogazione integrale della CIA FOIA Electronic Reading Room e la lettura dei documenti FRUS 1981-1988, volume X, nella loro versione più completa, per consolidare — come già fatto in questa sede — la conclusione che l'intelligence statunitense non affermò come provata la pista bulgara; la soglia che muterebbe la valutazione sarebbe la desecretazione di porzioni oggi coperte che contenessero prove documentali, e non semplici dichiarazioni di Ağca, di un mandato bulgaro-sovietico. In assenza di tali prove, la qualificazione della pista bulgara come non giudizialmente provata va mantenuta in ogni pubblicazione.</w:t>
      </w:r>
    </w:p>
    <w:p>
      <w:pPr>
        <w:spacing w:after="120" w:line="276"/>
        <w:jc w:val="both"/>
      </w:pPr>
      <w:r>
        <w:rPr>
          <w:rFonts w:ascii="Barlow Semi Condensed" w:cs="Barlow Semi Condensed" w:eastAsia="Barlow Semi Condensed" w:hAnsi="Barlow Semi Condensed"/>
          <w:sz w:val="24"/>
          <w:szCs w:val="24"/>
        </w:rPr>
        <w:t xml:space="preserve">Il terzo passo, a più lungo termine e condizionato dall'apertura degli archivi, è la richiesta di consultazione dell'archivio della Segreteria di Stato per il pontificato di Paolo VI non appena esso venga aperto: è la fonte di massimo rendimento per i Capitoli VIII, IX e X, e la sua apertura è la principale variabile che potrebbe trasformare le lacune odierne in acquisizioni. Nel frattempo, si raccomanda di valorizzare l'opera di catalogazione di Rinaldo Marmara come guida agli inventari e di considerare, per il versante patriarcale, un contatto con l'archivio del Patriarcato ecumenico e con la storiografia in lingua greca.</w:t>
      </w:r>
    </w:p>
    <w:p>
      <w:pPr>
        <w:spacing w:after="120" w:line="276"/>
        <w:jc w:val="both"/>
      </w:pPr>
      <w:r>
        <w:rPr>
          <w:rFonts w:ascii="Barlow Semi Condensed" w:cs="Barlow Semi Condensed" w:eastAsia="Barlow Semi Condensed" w:hAnsi="Barlow Semi Condensed"/>
          <w:sz w:val="24"/>
          <w:szCs w:val="24"/>
        </w:rPr>
        <w:t xml:space="preserve">Sul piano redazionale, si raccomanda infine, in ogni resa pubblica di questa ricerca, di mantenere rigorosamente la distinzione fra l'accertato e il non provato, di trattare le dichiarazioni di Mehmet Ali Ağca come fatti pubblici e non come fonti di merito, e di non convertire mai la contemporaneità cronologica — segnatamente fra la lettera del 1979, il viaggio del 1979 e l'attentato del 1981 — in prova di un nesso causale.</w:t>
      </w:r>
    </w:p>
    <w:p>
      <w:pPr>
        <w:spacing w:after="120" w:line="276"/>
        <w:jc w:val="both"/>
      </w:pPr>
      <w:r>
        <w:rPr>
          <w:rFonts w:ascii="Barlow Semi Condensed" w:cs="Barlow Semi Condensed" w:eastAsia="Barlow Semi Condensed" w:hAnsi="Barlow Semi Condensed"/>
          <w:sz w:val="24"/>
          <w:szCs w:val="24"/>
        </w:rPr>
        <w:t xml:space="preserve">CAVEATS</w:t>
      </w:r>
    </w:p>
    <w:p>
      <w:pPr>
        <w:spacing w:after="120" w:line="276"/>
        <w:jc w:val="both"/>
      </w:pPr>
      <w:r>
        <w:rPr>
          <w:rFonts w:ascii="Barlow Semi Condensed" w:cs="Barlow Semi Condensed" w:eastAsia="Barlow Semi Condensed" w:hAnsi="Barlow Semi Condensed"/>
          <w:sz w:val="24"/>
          <w:szCs w:val="24"/>
        </w:rPr>
        <w:t xml:space="preserve">La ricerca è stata condotta prevalentemente su fonti edite e accessibili online; gli archivi decisivi (Segreteria di Stato per Paolo VI, archivi diplomatici turchi, archivio del Patriarcato, fascicoli processuali) non sono stati consultati direttamente, sicché numerose conclusioni hanno carattere provvisorio e sono esposte come tali. Diverse informazioni sull'attentato e sulla traiettoria di Ağca provengono da pubblicistica giornalistica di qualità disuguale, che tende a presentare come accertate ipotesi che tali non sono; si è cercato di segnalare ogni volta lo statuto della fonte, ma il lettore è avvertito che il campo è saturo di ricostruzioni non verificate. Persistono divergenze di data e di cifra deliberatamente mantenute: la nomina di Roncalli (24 novembre 1934, «1934», gennaio 1935); la data d'introduzione del turco nella liturgia (1935, gennaio 1936, 1938); la consistenza dei cattolici di Turchia (trentamila-trentacinquemila all'arrivo di Roncalli; venticinquemila-trentamila o sessantamila nel dato acquisito; circa 35.000 in epoca recente); la morte di Atenagora (6 o 7 luglio 1972). Sulla data della testimonianza di Melvin Goodman al Senato statunitense le fonti secondarie indicano il 1990, mentre il verbale ufficiale colloca la sessione sulla politicizzazione al 1° ottobre 1991: si è preferita la fonte primaria segnalando il conflitto. Alcune tesi diffuse nella pubblicistica — la responsabilità organizzativa dei Lupi Grigi nell'attentato, il mandato bulgaro-sovietico come fatto acquisito — sono state riportate e qualificate come non sostenute dalle sentenze e dalle fonti primarie. Infine, si ribadisce che gli esiti negativi (Capitoli II, XI e in parte IX e X) non vanno letti come prova dell'inesistenza dei fatti cercati, ma come misura dell'attuale accessibilità documentale: la loro chiusura definitiva richiede la consultazione archivistica diretta indicata al Capitolo XII.</w:t>
      </w:r>
    </w:p>
    <w:p>
      <w:r>
        <w:br w:type="page"/>
      </w:r>
    </w:p>
    <w:p>
      <w:pPr>
        <w:pStyle w:val="Heading1"/>
        <w:spacing w:after="120" w:before="240"/>
      </w:pPr>
      <w:r>
        <w:rPr>
          <w:rFonts w:ascii="Barlow Semi Condensed" w:cs="Barlow Semi Condensed" w:eastAsia="Barlow Semi Condensed" w:hAnsi="Barlow Semi Condensed"/>
          <w:sz w:val="24"/>
          <w:szCs w:val="24"/>
        </w:rPr>
        <w:t xml:space="preserve">Appendice — I documenti del Dipartimento di Stato (1965 e 1978)</w:t>
      </w:r>
    </w:p>
    <w:p>
      <w:pPr>
        <w:pStyle w:val="Heading1"/>
        <w:spacing w:after="120" w:before="240"/>
      </w:pPr>
      <w:r>
        <w:rPr>
          <w:rFonts w:ascii="Barlow Semi Condensed" w:cs="Barlow Semi Condensed" w:eastAsia="Barlow Semi Condensed" w:hAnsi="Barlow Semi Condensed"/>
          <w:sz w:val="24"/>
          <w:szCs w:val="24"/>
        </w:rPr>
        <w:t xml:space="preserve">Documenti del Dipartimento di Stato USA su Aldo Moro (1965 e 1978)</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Nota sulla fonte.</w:t>
      </w:r>
      <w:r>
        <w:rPr>
          <w:rFonts w:ascii="Barlow Semi Condensed" w:cs="Barlow Semi Condensed" w:eastAsia="Barlow Semi Condensed" w:hAnsi="Barlow Semi Condensed"/>
          <w:i w:val="false"/>
          <w:iCs w:val="false"/>
          <w:sz w:val="24"/>
          <w:szCs w:val="24"/>
        </w:rPr>
        <w:t xml:space="preserve"> Questa è una trascrizione ripulita e ordinata dell'OCR grezzo di un lotto di documenti desecretati del Dipartimento di Stato statunitense (file originale </w:t>
      </w:r>
      <w:r>
        <w:rPr>
          <w:rFonts w:ascii="Barlow Semi Condensed" w:cs="Barlow Semi Condensed" w:eastAsia="Barlow Semi Condensed" w:hAnsi="Barlow Semi Condensed"/>
          <w:i w:val="false"/>
          <w:iCs w:val="false"/>
          <w:sz w:val="24"/>
          <w:szCs w:val="24"/>
        </w:rPr>
        <w:t xml:space="preserve">originali/state-dept-djvu-ocr-grezzo.txt</w:t>
      </w:r>
      <w:r>
        <w:rPr>
          <w:rFonts w:ascii="Barlow Semi Condensed" w:cs="Barlow Semi Condensed" w:eastAsia="Barlow Semi Condensed" w:hAnsi="Barlow Semi Condensed"/>
          <w:i w:val="false"/>
          <w:iCs w:val="false"/>
          <w:sz w:val="24"/>
          <w:szCs w:val="24"/>
        </w:rPr>
        <w:t xml:space="preserve">, catena di custodia nel </w:t>
      </w:r>
      <w:r>
        <w:rPr>
          <w:rFonts w:ascii="Barlow Semi Condensed" w:cs="Barlow Semi Condensed" w:eastAsia="Barlow Semi Condensed" w:hAnsi="Barlow Semi Condensed"/>
          <w:i w:val="false"/>
          <w:iCs w:val="false"/>
          <w:sz w:val="24"/>
          <w:szCs w:val="24"/>
        </w:rPr>
        <w:t xml:space="preserve">manifest-sha256.txt</w:t>
      </w:r>
      <w:r>
        <w:rPr>
          <w:rFonts w:ascii="Barlow Semi Condensed" w:cs="Barlow Semi Condensed" w:eastAsia="Barlow Semi Condensed" w:hAnsi="Barlow Semi Condensed"/>
          <w:i w:val="false"/>
          <w:iCs w:val="false"/>
          <w:sz w:val="24"/>
          <w:szCs w:val="24"/>
        </w:rPr>
        <w:t xml:space="preserve">). L'OCR di partenza è di qualità disuguale: dove il testo materiale è dubbio lo si segnala con </w:t>
      </w:r>
      <w:r>
        <w:rPr>
          <w:rFonts w:ascii="Barlow Semi Condensed" w:cs="Barlow Semi Condensed" w:eastAsia="Barlow Semi Condensed" w:hAnsi="Barlow Semi Condensed"/>
          <w:i w:val="false"/>
          <w:iCs w:val="false"/>
          <w:sz w:val="24"/>
          <w:szCs w:val="24"/>
        </w:rPr>
        <w:t xml:space="preserve">[…]</w:t>
      </w:r>
      <w:r>
        <w:rPr>
          <w:rFonts w:ascii="Barlow Semi Condensed" w:cs="Barlow Semi Condensed" w:eastAsia="Barlow Semi Condensed" w:hAnsi="Barlow Semi Condensed"/>
          <w:i w:val="false"/>
          <w:iCs w:val="false"/>
          <w:sz w:val="24"/>
          <w:szCs w:val="24"/>
        </w:rPr>
        <w:t xml:space="preserve"> o con una nota. I documenti si dispongono in due strati cronologici nettamente distinti — la </w:t>
      </w:r>
      <w:r>
        <w:rPr>
          <w:rFonts w:ascii="Barlow Semi Condensed" w:cs="Barlow Semi Condensed" w:eastAsia="Barlow Semi Condensed" w:hAnsi="Barlow Semi Condensed"/>
          <w:b/>
          <w:bCs/>
          <w:i w:val="false"/>
          <w:iCs w:val="false"/>
          <w:sz w:val="24"/>
          <w:szCs w:val="24"/>
        </w:rPr>
        <w:t xml:space="preserve">visita ufficiale del 1965</w:t>
      </w:r>
      <w:r>
        <w:rPr>
          <w:rFonts w:ascii="Barlow Semi Condensed" w:cs="Barlow Semi Condensed" w:eastAsia="Barlow Semi Condensed" w:hAnsi="Barlow Semi Condensed"/>
          <w:i w:val="false"/>
          <w:iCs w:val="false"/>
          <w:sz w:val="24"/>
          <w:szCs w:val="24"/>
        </w:rPr>
        <w:t xml:space="preserve"> e i </w:t>
      </w:r>
      <w:r>
        <w:rPr>
          <w:rFonts w:ascii="Barlow Semi Condensed" w:cs="Barlow Semi Condensed" w:eastAsia="Barlow Semi Condensed" w:hAnsi="Barlow Semi Condensed"/>
          <w:b/>
          <w:bCs/>
          <w:i w:val="false"/>
          <w:iCs w:val="false"/>
          <w:sz w:val="24"/>
          <w:szCs w:val="24"/>
        </w:rPr>
        <w:t xml:space="preserve">cablogrammi del 1978</w:t>
      </w:r>
      <w:r>
        <w:rPr>
          <w:rFonts w:ascii="Barlow Semi Condensed" w:cs="Barlow Semi Condensed" w:eastAsia="Barlow Semi Condensed" w:hAnsi="Barlow Semi Condensed"/>
          <w:i w:val="false"/>
          <w:iCs w:val="false"/>
          <w:sz w:val="24"/>
          <w:szCs w:val="24"/>
        </w:rPr>
        <w:t xml:space="preserve"> sul sequestro e sull'assassinio — che qui si tengono separati. Ogni voce riporta, ove leggibile, il numero di documento di declassificazione (</w:t>
      </w:r>
      <w:r>
        <w:rPr>
          <w:rFonts w:ascii="Barlow Semi Condensed" w:cs="Barlow Semi Condensed" w:eastAsia="Barlow Semi Condensed" w:hAnsi="Barlow Semi Condensed"/>
          <w:i w:val="false"/>
          <w:iCs w:val="false"/>
          <w:sz w:val="24"/>
          <w:szCs w:val="24"/>
        </w:rPr>
        <w:t xml:space="preserve">B-000019399xx</w:t>
      </w:r>
      <w:r>
        <w:rPr>
          <w:rFonts w:ascii="Barlow Semi Condensed" w:cs="Barlow Semi Condensed" w:eastAsia="Barlow Semi Condensed" w:hAnsi="Barlow Semi Condensed"/>
          <w:i w:val="false"/>
          <w:iCs w:val="false"/>
          <w:sz w:val="24"/>
          <w:szCs w:val="24"/>
        </w:rPr>
        <w:t xml:space="preserve">), la sigla di classificazione originaria e la data. Nessun fatto è aggiunto oltre ciò che il documento attesta; le reazioni politiche riportate nei cablogrammi sono citazioni delle fonti locali quali il redattore statunitense le riferì, non giudizi di chi trascrive.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Strato I — La visita ufficiale negli Stati Uniti (19–23 aprile 1965)</w:t>
      </w:r>
    </w:p>
    <w:p>
      <w:pPr>
        <w:spacing w:after="120" w:line="276"/>
        <w:jc w:val="both"/>
      </w:pPr>
      <w:r>
        <w:rPr>
          <w:rFonts w:ascii="Barlow Semi Condensed" w:cs="Barlow Semi Condensed" w:eastAsia="Barlow Semi Condensed" w:hAnsi="Barlow Semi Condensed"/>
          <w:sz w:val="24"/>
          <w:szCs w:val="24"/>
        </w:rPr>
        <w:t xml:space="preserve">Nel 1965 Aldo Moro non era ministro degli Esteri, bensì </w:t>
      </w:r>
      <w:r>
        <w:rPr>
          <w:rFonts w:ascii="Barlow Semi Condensed" w:cs="Barlow Semi Condensed" w:eastAsia="Barlow Semi Condensed" w:hAnsi="Barlow Semi Condensed"/>
          <w:b/>
          <w:bCs/>
          <w:sz w:val="24"/>
          <w:szCs w:val="24"/>
        </w:rPr>
        <w:t xml:space="preserve">Presidente del Consiglio dei ministri</w:t>
      </w:r>
      <w:r>
        <w:rPr>
          <w:rFonts w:ascii="Barlow Semi Condensed" w:cs="Barlow Semi Condensed" w:eastAsia="Barlow Semi Condensed" w:hAnsi="Barlow Semi Condensed"/>
          <w:sz w:val="24"/>
          <w:szCs w:val="24"/>
        </w:rPr>
        <w:t xml:space="preserve"> (I e II Governo Moro, 1963–1968); il titolare della Farnesina nella delegazione era </w:t>
      </w:r>
      <w:r>
        <w:rPr>
          <w:rFonts w:ascii="Barlow Semi Condensed" w:cs="Barlow Semi Condensed" w:eastAsia="Barlow Semi Condensed" w:hAnsi="Barlow Semi Condensed"/>
          <w:b/>
          <w:bCs/>
          <w:sz w:val="24"/>
          <w:szCs w:val="24"/>
        </w:rPr>
        <w:t xml:space="preserve">Amintore Fanfani</w:t>
      </w:r>
      <w:r>
        <w:rPr>
          <w:rFonts w:ascii="Barlow Semi Condensed" w:cs="Barlow Semi Condensed" w:eastAsia="Barlow Semi Condensed" w:hAnsi="Barlow Semi Condensed"/>
          <w:sz w:val="24"/>
          <w:szCs w:val="24"/>
        </w:rPr>
        <w:t xml:space="preserve">. La visita è dunque anteriore ai due mandati agli Esteri (1969–1974) di cui trattano gli altri documenti di questa cartella, e va qui come antefatto della statura internazionale dell'uomo, non come atto della sua politica estera da ministro. Il documento cardine è il comunicato stampa n. 76 del Dipartimento di Stato (16 aprile 1965), «Program for the official visit to the United States of America of His Excellency Aldo Moro, President of the Council of Ministers of the Republic of Italy — April 19–23, 1965».</w:t>
      </w:r>
    </w:p>
    <w:p>
      <w:pPr>
        <w:pStyle w:val="Heading3"/>
        <w:spacing w:after="80" w:before="160"/>
      </w:pPr>
      <w:r>
        <w:rPr>
          <w:rFonts w:ascii="Barlow Semi Condensed" w:cs="Barlow Semi Condensed" w:eastAsia="Barlow Semi Condensed" w:hAnsi="Barlow Semi Condensed"/>
          <w:sz w:val="24"/>
          <w:szCs w:val="24"/>
        </w:rPr>
        <w:t xml:space="preserve">La delegazione italiana</w:t>
      </w:r>
    </w:p>
    <w:p>
      <w:pPr>
        <w:spacing w:after="120" w:line="276"/>
        <w:jc w:val="both"/>
      </w:pPr>
      <w:r>
        <w:rPr>
          <w:rFonts w:ascii="Barlow Semi Condensed" w:cs="Barlow Semi Condensed" w:eastAsia="Barlow Semi Condensed" w:hAnsi="Barlow Semi Condensed"/>
          <w:sz w:val="24"/>
          <w:szCs w:val="24"/>
        </w:rPr>
        <w:t xml:space="preserve">Come da programma ufficiale (Members of the Party):</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Aldo Moro</w:t>
      </w:r>
      <w:r>
        <w:rPr>
          <w:rFonts w:ascii="Barlow Semi Condensed" w:cs="Barlow Semi Condensed" w:eastAsia="Barlow Semi Condensed" w:hAnsi="Barlow Semi Condensed"/>
          <w:sz w:val="24"/>
          <w:szCs w:val="24"/>
        </w:rPr>
        <w:t xml:space="preserve"> — Presidente del Consiglio dei ministri;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Amintore Fanfani</w:t>
      </w:r>
      <w:r>
        <w:rPr>
          <w:rFonts w:ascii="Barlow Semi Condensed" w:cs="Barlow Semi Condensed" w:eastAsia="Barlow Semi Condensed" w:hAnsi="Barlow Semi Condensed"/>
          <w:sz w:val="24"/>
          <w:szCs w:val="24"/>
        </w:rPr>
        <w:t xml:space="preserve"> — Ministro degli Affari Esteri;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Sergio Fenoaltea</w:t>
      </w:r>
      <w:r>
        <w:rPr>
          <w:rFonts w:ascii="Barlow Semi Condensed" w:cs="Barlow Semi Condensed" w:eastAsia="Barlow Semi Condensed" w:hAnsi="Barlow Semi Condensed"/>
          <w:sz w:val="24"/>
          <w:szCs w:val="24"/>
        </w:rPr>
        <w:t xml:space="preserve"> — Ambasciatore d'Italia negli Stati Uniti;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Attilio Cattani</w:t>
      </w:r>
      <w:r>
        <w:rPr>
          <w:rFonts w:ascii="Barlow Semi Condensed" w:cs="Barlow Semi Condensed" w:eastAsia="Barlow Semi Condensed" w:hAnsi="Barlow Semi Condensed"/>
          <w:sz w:val="24"/>
          <w:szCs w:val="24"/>
        </w:rPr>
        <w:t xml:space="preserve"> — Ambasciatore, Segretario Generale del Ministero degli Affari Esteri;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Egidio Ortona</w:t>
      </w:r>
      <w:r>
        <w:rPr>
          <w:rFonts w:ascii="Barlow Semi Condensed" w:cs="Barlow Semi Condensed" w:eastAsia="Barlow Semi Condensed" w:hAnsi="Barlow Semi Condensed"/>
          <w:sz w:val="24"/>
          <w:szCs w:val="24"/>
        </w:rPr>
        <w:t xml:space="preserve"> — Ambasciatore, Direttore Generale degli Affari Economici del Ministero;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Gianfranco Pompei</w:t>
      </w:r>
      <w:r>
        <w:rPr>
          <w:rFonts w:ascii="Barlow Semi Condensed" w:cs="Barlow Semi Condensed" w:eastAsia="Barlow Semi Condensed" w:hAnsi="Barlow Semi Condensed"/>
          <w:sz w:val="24"/>
          <w:szCs w:val="24"/>
        </w:rPr>
        <w:t xml:space="preserve"> — Ministro plenipotenziario, Consigliere diplomatico del Presidente del Consiglio;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Cataldo Cassano</w:t>
      </w:r>
      <w:r>
        <w:rPr>
          <w:rFonts w:ascii="Barlow Semi Condensed" w:cs="Barlow Semi Condensed" w:eastAsia="Barlow Semi Condensed" w:hAnsi="Barlow Semi Condensed"/>
          <w:sz w:val="24"/>
          <w:szCs w:val="24"/>
        </w:rPr>
        <w:t xml:space="preserve"> — Senatore della Repubblica;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Sereno Freato</w:t>
      </w:r>
      <w:r>
        <w:rPr>
          <w:rFonts w:ascii="Barlow Semi Condensed" w:cs="Barlow Semi Condensed" w:eastAsia="Barlow Semi Condensed" w:hAnsi="Barlow Semi Condensed"/>
          <w:sz w:val="24"/>
          <w:szCs w:val="24"/>
        </w:rPr>
        <w:t xml:space="preserve"> — Consigliere, Ufficio del Presidente del Consiglio;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Corrado Guerzoni</w:t>
      </w:r>
      <w:r>
        <w:rPr>
          <w:rFonts w:ascii="Barlow Semi Condensed" w:cs="Barlow Semi Condensed" w:eastAsia="Barlow Semi Condensed" w:hAnsi="Barlow Semi Condensed"/>
          <w:sz w:val="24"/>
          <w:szCs w:val="24"/>
        </w:rPr>
        <w:t xml:space="preserve"> — Capo dell'Ufficio Stampa del Presidente del Consiglio;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Felice Marchioni</w:t>
      </w:r>
      <w:r>
        <w:rPr>
          <w:rFonts w:ascii="Barlow Semi Condensed" w:cs="Barlow Semi Condensed" w:eastAsia="Barlow Semi Condensed" w:hAnsi="Barlow Semi Condensed"/>
          <w:sz w:val="24"/>
          <w:szCs w:val="24"/>
        </w:rPr>
        <w:t xml:space="preserve"> — Capo dell'Ufficio del Cerimoniale del Presidente del Consiglio;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Luigi Cottafavi</w:t>
      </w:r>
      <w:r>
        <w:rPr>
          <w:rFonts w:ascii="Barlow Semi Condensed" w:cs="Barlow Semi Condensed" w:eastAsia="Barlow Semi Condensed" w:hAnsi="Barlow Semi Condensed"/>
          <w:sz w:val="24"/>
          <w:szCs w:val="24"/>
        </w:rPr>
        <w:t xml:space="preserve"> — Consigliere d'Ambasciata;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Walter Gardini</w:t>
      </w:r>
      <w:r>
        <w:rPr>
          <w:rFonts w:ascii="Barlow Semi Condensed" w:cs="Barlow Semi Condensed" w:eastAsia="Barlow Semi Condensed" w:hAnsi="Barlow Semi Condensed"/>
          <w:sz w:val="24"/>
          <w:szCs w:val="24"/>
        </w:rPr>
        <w:t xml:space="preserve"> — Capo dell'Ufficio Stampa del Ministero degli Affari Esteri;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Nicola Rana</w:t>
      </w:r>
      <w:r>
        <w:rPr>
          <w:rFonts w:ascii="Barlow Semi Condensed" w:cs="Barlow Semi Condensed" w:eastAsia="Barlow Semi Condensed" w:hAnsi="Barlow Semi Condensed"/>
          <w:sz w:val="24"/>
          <w:szCs w:val="24"/>
        </w:rPr>
        <w:t xml:space="preserve"> — Segretario particolare del Presidente del Consiglio.</w:t>
      </w:r>
    </w:p>
    <w:p>
      <w:pPr>
        <w:spacing w:after="120" w:line="276"/>
        <w:jc w:val="both"/>
      </w:pPr>
      <w:r>
        <w:rPr>
          <w:rFonts w:ascii="Barlow Semi Condensed" w:cs="Barlow Semi Condensed" w:eastAsia="Barlow Semi Condensed" w:hAnsi="Barlow Semi Condensed"/>
          <w:sz w:val="24"/>
          <w:szCs w:val="24"/>
        </w:rPr>
        <w:t xml:space="preserve">Per parte statunitense figurano nel programma il Capo del Cerimoniale </w:t>
      </w:r>
      <w:r>
        <w:rPr>
          <w:rFonts w:ascii="Barlow Semi Condensed" w:cs="Barlow Semi Condensed" w:eastAsia="Barlow Semi Condensed" w:hAnsi="Barlow Semi Condensed"/>
          <w:b/>
          <w:bCs/>
          <w:sz w:val="24"/>
          <w:szCs w:val="24"/>
        </w:rPr>
        <w:t xml:space="preserve">Lloyd N. Hand</w:t>
      </w:r>
      <w:r>
        <w:rPr>
          <w:rFonts w:ascii="Barlow Semi Condensed" w:cs="Barlow Semi Condensed" w:eastAsia="Barlow Semi Condensed" w:hAnsi="Barlow Semi Condensed"/>
          <w:sz w:val="24"/>
          <w:szCs w:val="24"/>
        </w:rPr>
        <w:t xml:space="preserve">, l'ambasciatore americano a Roma </w:t>
      </w:r>
      <w:r>
        <w:rPr>
          <w:rFonts w:ascii="Barlow Semi Condensed" w:cs="Barlow Semi Condensed" w:eastAsia="Barlow Semi Condensed" w:hAnsi="Barlow Semi Condensed"/>
          <w:b/>
          <w:bCs/>
          <w:sz w:val="24"/>
          <w:szCs w:val="24"/>
        </w:rPr>
        <w:t xml:space="preserve">G. Frederick Reinhardt</w:t>
      </w:r>
      <w:r>
        <w:rPr>
          <w:rFonts w:ascii="Barlow Semi Condensed" w:cs="Barlow Semi Condensed" w:eastAsia="Barlow Semi Condensed" w:hAnsi="Barlow Semi Condensed"/>
          <w:sz w:val="24"/>
          <w:szCs w:val="24"/>
        </w:rPr>
        <w:t xml:space="preserve">, il vice-capo del cerimoniale </w:t>
      </w:r>
      <w:r>
        <w:rPr>
          <w:rFonts w:ascii="Barlow Semi Condensed" w:cs="Barlow Semi Condensed" w:eastAsia="Barlow Semi Condensed" w:hAnsi="Barlow Semi Condensed"/>
          <w:b/>
          <w:bCs/>
          <w:sz w:val="24"/>
          <w:szCs w:val="24"/>
        </w:rPr>
        <w:t xml:space="preserve">Samuel L. King</w:t>
      </w:r>
      <w:r>
        <w:rPr>
          <w:rFonts w:ascii="Barlow Semi Condensed" w:cs="Barlow Semi Condensed" w:eastAsia="Barlow Semi Condensed" w:hAnsi="Barlow Semi Condensed"/>
          <w:sz w:val="24"/>
          <w:szCs w:val="24"/>
        </w:rPr>
        <w:t xml:space="preserve">, il </w:t>
      </w:r>
      <w:r>
        <w:rPr>
          <w:rFonts w:ascii="Barlow Semi Condensed" w:cs="Barlow Semi Condensed" w:eastAsia="Barlow Semi Condensed" w:hAnsi="Barlow Semi Condensed"/>
          <w:i/>
          <w:iCs/>
          <w:sz w:val="24"/>
          <w:szCs w:val="24"/>
        </w:rPr>
        <w:t xml:space="preserve">Security Officer</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Bert M. Bennington</w:t>
      </w:r>
      <w:r>
        <w:rPr>
          <w:rFonts w:ascii="Barlow Semi Condensed" w:cs="Barlow Semi Condensed" w:eastAsia="Barlow Semi Condensed" w:hAnsi="Barlow Semi Condensed"/>
          <w:sz w:val="24"/>
          <w:szCs w:val="24"/>
        </w:rPr>
        <w:t xml:space="preserve"> e il </w:t>
      </w:r>
      <w:r>
        <w:rPr>
          <w:rFonts w:ascii="Barlow Semi Condensed" w:cs="Barlow Semi Condensed" w:eastAsia="Barlow Semi Condensed" w:hAnsi="Barlow Semi Condensed"/>
          <w:i/>
          <w:iCs/>
          <w:sz w:val="24"/>
          <w:szCs w:val="24"/>
        </w:rPr>
        <w:t xml:space="preserve">Public Affairs and Press Officer</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Ivan E. Sinclair</w:t>
      </w:r>
      <w:r>
        <w:rPr>
          <w:rFonts w:ascii="Barlow Semi Condensed" w:cs="Barlow Semi Condensed" w:eastAsia="Barlow Semi Condensed" w:hAnsi="Barlow Semi Condensed"/>
          <w:sz w:val="24"/>
          <w:szCs w:val="24"/>
        </w:rPr>
        <w:t xml:space="preserve">.</w:t>
      </w:r>
    </w:p>
    <w:p>
      <w:pPr>
        <w:pStyle w:val="Heading3"/>
        <w:spacing w:after="80" w:before="160"/>
      </w:pPr>
      <w:r>
        <w:rPr>
          <w:rFonts w:ascii="Barlow Semi Condensed" w:cs="Barlow Semi Condensed" w:eastAsia="Barlow Semi Condensed" w:hAnsi="Barlow Semi Condensed"/>
          <w:sz w:val="24"/>
          <w:szCs w:val="24"/>
        </w:rPr>
        <w:t xml:space="preserve">Il programma, giorno per giorno</w:t>
      </w:r>
    </w:p>
    <w:p>
      <w:pPr>
        <w:spacing w:after="120" w:line="276"/>
        <w:jc w:val="both"/>
      </w:pPr>
      <w:r>
        <w:rPr>
          <w:rFonts w:ascii="Barlow Semi Condensed" w:cs="Barlow Semi Condensed" w:eastAsia="Barlow Semi Condensed" w:hAnsi="Barlow Semi Condensed"/>
          <w:b/>
          <w:bCs/>
          <w:sz w:val="24"/>
          <w:szCs w:val="24"/>
        </w:rPr>
        <w:t xml:space="preserve">Lunedì 19 aprile.</w:t>
      </w:r>
      <w:r>
        <w:rPr>
          <w:rFonts w:ascii="Barlow Semi Condensed" w:cs="Barlow Semi Condensed" w:eastAsia="Barlow Semi Condensed" w:hAnsi="Barlow Semi Condensed"/>
          <w:sz w:val="24"/>
          <w:szCs w:val="24"/>
        </w:rPr>
        <w:t xml:space="preserve"> Arrivo alle 13:40 (EST) all'aeroporto internazionale John F. Kennedy di New York con volo Alitalia 632; accoglienza del Capo del Cerimoniale degli Stati Uniti. Alle 14:45 ripartenza da JFK a bordo di un volo speciale dell'US Air Force verso Washington. Arrivo al MATS Terminal, Washington National Airport (16:00), quindi Blair House (16:30). Cena privata all'Ambasciata d'Italia.</w:t>
      </w:r>
    </w:p>
    <w:p>
      <w:pPr>
        <w:spacing w:after="120" w:line="276"/>
        <w:jc w:val="both"/>
      </w:pPr>
      <w:r>
        <w:rPr>
          <w:rFonts w:ascii="Barlow Semi Condensed" w:cs="Barlow Semi Condensed" w:eastAsia="Barlow Semi Condensed" w:hAnsi="Barlow Semi Condensed"/>
          <w:b/>
          <w:bCs/>
          <w:sz w:val="24"/>
          <w:szCs w:val="24"/>
        </w:rPr>
        <w:t xml:space="preserve">Martedì 20 aprile.</w:t>
      </w:r>
      <w:r>
        <w:rPr>
          <w:rFonts w:ascii="Barlow Semi Condensed" w:cs="Barlow Semi Condensed" w:eastAsia="Barlow Semi Condensed" w:hAnsi="Barlow Semi Condensed"/>
          <w:sz w:val="24"/>
          <w:szCs w:val="24"/>
        </w:rPr>
        <w:t xml:space="preserve"> Ricevimento alla </w:t>
      </w:r>
      <w:r>
        <w:rPr>
          <w:rFonts w:ascii="Barlow Semi Condensed" w:cs="Barlow Semi Condensed" w:eastAsia="Barlow Semi Condensed" w:hAnsi="Barlow Semi Condensed"/>
          <w:b/>
          <w:bCs/>
          <w:sz w:val="24"/>
          <w:szCs w:val="24"/>
        </w:rPr>
        <w:t xml:space="preserve">Casa Bianca</w:t>
      </w:r>
      <w:r>
        <w:rPr>
          <w:rFonts w:ascii="Barlow Semi Condensed" w:cs="Barlow Semi Condensed" w:eastAsia="Barlow Semi Condensed" w:hAnsi="Barlow Semi Condensed"/>
          <w:sz w:val="24"/>
          <w:szCs w:val="24"/>
        </w:rPr>
        <w:t xml:space="preserve">: alle 12:00 arrivo, accolto dal </w:t>
      </w:r>
      <w:r>
        <w:rPr>
          <w:rFonts w:ascii="Barlow Semi Condensed" w:cs="Barlow Semi Condensed" w:eastAsia="Barlow Semi Condensed" w:hAnsi="Barlow Semi Condensed"/>
          <w:b/>
          <w:bCs/>
          <w:sz w:val="24"/>
          <w:szCs w:val="24"/>
        </w:rPr>
        <w:t xml:space="preserve">Presidente Lyndon B. Johnson e dalla signora Johnson</w:t>
      </w:r>
      <w:r>
        <w:rPr>
          <w:rFonts w:ascii="Barlow Semi Condensed" w:cs="Barlow Semi Condensed" w:eastAsia="Barlow Semi Condensed" w:hAnsi="Barlow Semi Condensed"/>
          <w:sz w:val="24"/>
          <w:szCs w:val="24"/>
        </w:rPr>
        <w:t xml:space="preserve">, dal Segretario di Stato, dal generale </w:t>
      </w:r>
      <w:r>
        <w:rPr>
          <w:rFonts w:ascii="Barlow Semi Condensed" w:cs="Barlow Semi Condensed" w:eastAsia="Barlow Semi Condensed" w:hAnsi="Barlow Semi Condensed"/>
          <w:b/>
          <w:bCs/>
          <w:sz w:val="24"/>
          <w:szCs w:val="24"/>
        </w:rPr>
        <w:t xml:space="preserve">Harold K. Johnson</w:t>
      </w:r>
      <w:r>
        <w:rPr>
          <w:rFonts w:ascii="Barlow Semi Condensed" w:cs="Barlow Semi Condensed" w:eastAsia="Barlow Semi Condensed" w:hAnsi="Barlow Semi Condensed"/>
          <w:sz w:val="24"/>
          <w:szCs w:val="24"/>
        </w:rPr>
        <w:t xml:space="preserve"> (Presidente facente funzioni dei Capi di Stato Maggiore Riuniti), dal Decano del Corpo Diplomatico e da altre autorità, con </w:t>
      </w:r>
      <w:r>
        <w:rPr>
          <w:rFonts w:ascii="Barlow Semi Condensed" w:cs="Barlow Semi Condensed" w:eastAsia="Barlow Semi Condensed" w:hAnsi="Barlow Semi Condensed"/>
          <w:b/>
          <w:bCs/>
          <w:sz w:val="24"/>
          <w:szCs w:val="24"/>
        </w:rPr>
        <w:t xml:space="preserve">onori militari pieni</w:t>
      </w:r>
      <w:r>
        <w:rPr>
          <w:rFonts w:ascii="Barlow Semi Condensed" w:cs="Barlow Semi Condensed" w:eastAsia="Barlow Semi Condensed" w:hAnsi="Barlow Semi Condensed"/>
          <w:sz w:val="24"/>
          <w:szCs w:val="24"/>
        </w:rPr>
        <w:t xml:space="preserve">. Colloquio Moro–Johnson. Colazione offerta dal Segretario del Tesoro </w:t>
      </w:r>
      <w:r>
        <w:rPr>
          <w:rFonts w:ascii="Barlow Semi Condensed" w:cs="Barlow Semi Condensed" w:eastAsia="Barlow Semi Condensed" w:hAnsi="Barlow Semi Condensed"/>
          <w:b/>
          <w:bCs/>
          <w:sz w:val="24"/>
          <w:szCs w:val="24"/>
        </w:rPr>
        <w:t xml:space="preserve">Henry H. Fowler</w:t>
      </w:r>
      <w:r>
        <w:rPr>
          <w:rFonts w:ascii="Barlow Semi Condensed" w:cs="Barlow Semi Condensed" w:eastAsia="Barlow Semi Condensed" w:hAnsi="Barlow Semi Condensed"/>
          <w:sz w:val="24"/>
          <w:szCs w:val="24"/>
        </w:rPr>
        <w:t xml:space="preserve"> alla Decatur House. Incontro con il </w:t>
      </w:r>
      <w:r>
        <w:rPr>
          <w:rFonts w:ascii="Barlow Semi Condensed" w:cs="Barlow Semi Condensed" w:eastAsia="Barlow Semi Condensed" w:hAnsi="Barlow Semi Condensed"/>
          <w:b/>
          <w:bCs/>
          <w:sz w:val="24"/>
          <w:szCs w:val="24"/>
        </w:rPr>
        <w:t xml:space="preserve">Segretario di Stato Dean Rusk</w:t>
      </w:r>
      <w:r>
        <w:rPr>
          <w:rFonts w:ascii="Barlow Semi Condensed" w:cs="Barlow Semi Condensed" w:eastAsia="Barlow Semi Condensed" w:hAnsi="Barlow Semi Condensed"/>
          <w:sz w:val="24"/>
          <w:szCs w:val="24"/>
        </w:rPr>
        <w:t xml:space="preserve"> al Dipartimento di Stato. In serata (18:00) </w:t>
      </w:r>
      <w:r>
        <w:rPr>
          <w:rFonts w:ascii="Barlow Semi Condensed" w:cs="Barlow Semi Condensed" w:eastAsia="Barlow Semi Condensed" w:hAnsi="Barlow Semi Condensed"/>
          <w:b/>
          <w:bCs/>
          <w:sz w:val="24"/>
          <w:szCs w:val="24"/>
        </w:rPr>
        <w:t xml:space="preserve">pranzo di gala offerto dal Presidente Johnson</w:t>
      </w:r>
      <w:r>
        <w:rPr>
          <w:rFonts w:ascii="Barlow Semi Condensed" w:cs="Barlow Semi Condensed" w:eastAsia="Barlow Semi Condensed" w:hAnsi="Barlow Semi Condensed"/>
          <w:sz w:val="24"/>
          <w:szCs w:val="24"/>
        </w:rPr>
        <w:t xml:space="preserve"> alla Casa Bianca in onore del Presidente del Consiglio italiano (dress: black tie).</w:t>
      </w:r>
    </w:p>
    <w:p>
      <w:pPr>
        <w:spacing w:after="120" w:line="276"/>
        <w:jc w:val="both"/>
      </w:pPr>
      <w:r>
        <w:rPr>
          <w:rFonts w:ascii="Barlow Semi Condensed" w:cs="Barlow Semi Condensed" w:eastAsia="Barlow Semi Condensed" w:hAnsi="Barlow Semi Condensed"/>
          <w:b/>
          <w:bCs/>
          <w:sz w:val="24"/>
          <w:szCs w:val="24"/>
        </w:rPr>
        <w:t xml:space="preserve">Mercoledì 21 aprile.</w:t>
      </w:r>
      <w:r>
        <w:rPr>
          <w:rFonts w:ascii="Barlow Semi Condensed" w:cs="Barlow Semi Condensed" w:eastAsia="Barlow Semi Condensed" w:hAnsi="Barlow Semi Condensed"/>
          <w:sz w:val="24"/>
          <w:szCs w:val="24"/>
        </w:rPr>
        <w:t xml:space="preserve"> Visita all'</w:t>
      </w:r>
      <w:r>
        <w:rPr>
          <w:rFonts w:ascii="Barlow Semi Condensed" w:cs="Barlow Semi Condensed" w:eastAsia="Barlow Semi Condensed" w:hAnsi="Barlow Semi Condensed"/>
          <w:b/>
          <w:bCs/>
          <w:sz w:val="24"/>
          <w:szCs w:val="24"/>
        </w:rPr>
        <w:t xml:space="preserve">Arlington National Cemetery</w:t>
      </w:r>
      <w:r>
        <w:rPr>
          <w:rFonts w:ascii="Barlow Semi Condensed" w:cs="Barlow Semi Condensed" w:eastAsia="Barlow Semi Condensed" w:hAnsi="Barlow Semi Condensed"/>
          <w:sz w:val="24"/>
          <w:szCs w:val="24"/>
        </w:rPr>
        <w:t xml:space="preserve">, con deposizione di corone alla Tomba del Milite Ignoto e sulla </w:t>
      </w:r>
      <w:r>
        <w:rPr>
          <w:rFonts w:ascii="Barlow Semi Condensed" w:cs="Barlow Semi Condensed" w:eastAsia="Barlow Semi Condensed" w:hAnsi="Barlow Semi Condensed"/>
          <w:b/>
          <w:bCs/>
          <w:sz w:val="24"/>
          <w:szCs w:val="24"/>
        </w:rPr>
        <w:t xml:space="preserve">tomba del defunto Presidente John F. Kennedy</w:t>
      </w:r>
      <w:r>
        <w:rPr>
          <w:rFonts w:ascii="Barlow Semi Condensed" w:cs="Barlow Semi Condensed" w:eastAsia="Barlow Semi Condensed" w:hAnsi="Barlow Semi Condensed"/>
          <w:sz w:val="24"/>
          <w:szCs w:val="24"/>
        </w:rPr>
        <w:t xml:space="preserve">. Visita a </w:t>
      </w:r>
      <w:r>
        <w:rPr>
          <w:rFonts w:ascii="Barlow Semi Condensed" w:cs="Barlow Semi Condensed" w:eastAsia="Barlow Semi Condensed" w:hAnsi="Barlow Semi Condensed"/>
          <w:b/>
          <w:bCs/>
          <w:sz w:val="24"/>
          <w:szCs w:val="24"/>
        </w:rPr>
        <w:t xml:space="preserve">Mount Vernon</w:t>
      </w:r>
      <w:r>
        <w:rPr>
          <w:rFonts w:ascii="Barlow Semi Condensed" w:cs="Barlow Semi Condensed" w:eastAsia="Barlow Semi Condensed" w:hAnsi="Barlow Semi Condensed"/>
          <w:sz w:val="24"/>
          <w:szCs w:val="24"/>
        </w:rPr>
        <w:t xml:space="preserve">, corona alla tomba di George Washington e visita alla dimora. Incontro con il Segretario alla Difesa </w:t>
      </w:r>
      <w:r>
        <w:rPr>
          <w:rFonts w:ascii="Barlow Semi Condensed" w:cs="Barlow Semi Condensed" w:eastAsia="Barlow Semi Condensed" w:hAnsi="Barlow Semi Condensed"/>
          <w:b/>
          <w:bCs/>
          <w:sz w:val="24"/>
          <w:szCs w:val="24"/>
        </w:rPr>
        <w:t xml:space="preserve">Robert S. McNamara</w:t>
      </w:r>
      <w:r>
        <w:rPr>
          <w:rFonts w:ascii="Barlow Semi Condensed" w:cs="Barlow Semi Condensed" w:eastAsia="Barlow Semi Condensed" w:hAnsi="Barlow Semi Condensed"/>
          <w:sz w:val="24"/>
          <w:szCs w:val="24"/>
        </w:rPr>
        <w:t xml:space="preserve"> a Blair House. Colazione offerta dal Segretario di Stato e dalla signora Rusk nella Benjamin Franklin Room del Dipartimento di Stato. Nuovo colloquio Moro–Johnson alla Casa Bianca (17:00), con </w:t>
      </w:r>
      <w:r>
        <w:rPr>
          <w:rFonts w:ascii="Barlow Semi Condensed" w:cs="Barlow Semi Condensed" w:eastAsia="Barlow Semi Condensed" w:hAnsi="Barlow Semi Condensed"/>
          <w:b/>
          <w:bCs/>
          <w:sz w:val="24"/>
          <w:szCs w:val="24"/>
        </w:rPr>
        <w:t xml:space="preserve">emissione di un comunicato congiunto</w:t>
      </w:r>
      <w:r>
        <w:rPr>
          <w:rFonts w:ascii="Barlow Semi Condensed" w:cs="Barlow Semi Condensed" w:eastAsia="Barlow Semi Condensed" w:hAnsi="Barlow Semi Condensed"/>
          <w:sz w:val="24"/>
          <w:szCs w:val="24"/>
        </w:rPr>
        <w:t xml:space="preserve">. In serata ricevimento offerto da Moro all'Ambasciata d'Italia (2700 Sixteenth Street NW) in onore dei coniugi Johnson.</w:t>
      </w:r>
    </w:p>
    <w:p>
      <w:pPr>
        <w:spacing w:after="120" w:line="276"/>
        <w:jc w:val="both"/>
      </w:pPr>
      <w:r>
        <w:rPr>
          <w:rFonts w:ascii="Barlow Semi Condensed" w:cs="Barlow Semi Condensed" w:eastAsia="Barlow Semi Condensed" w:hAnsi="Barlow Semi Condensed"/>
          <w:b/>
          <w:bCs/>
          <w:sz w:val="24"/>
          <w:szCs w:val="24"/>
        </w:rPr>
        <w:t xml:space="preserve">Giovedì 22 aprile.</w:t>
      </w:r>
      <w:r>
        <w:rPr>
          <w:rFonts w:ascii="Barlow Semi Condensed" w:cs="Barlow Semi Condensed" w:eastAsia="Barlow Semi Condensed" w:hAnsi="Barlow Semi Condensed"/>
          <w:sz w:val="24"/>
          <w:szCs w:val="24"/>
        </w:rPr>
        <w:t xml:space="preserve"> Al Campidoglio, colazione di lavoro (breakfast) offerta dal </w:t>
      </w:r>
      <w:r>
        <w:rPr>
          <w:rFonts w:ascii="Barlow Semi Condensed" w:cs="Barlow Semi Condensed" w:eastAsia="Barlow Semi Condensed" w:hAnsi="Barlow Semi Condensed"/>
          <w:b/>
          <w:bCs/>
          <w:sz w:val="24"/>
          <w:szCs w:val="24"/>
        </w:rPr>
        <w:t xml:space="preserve">Vicepresidente Hubert H. Humphrey</w:t>
      </w:r>
      <w:r>
        <w:rPr>
          <w:rFonts w:ascii="Barlow Semi Condensed" w:cs="Barlow Semi Condensed" w:eastAsia="Barlow Semi Condensed" w:hAnsi="Barlow Semi Condensed"/>
          <w:sz w:val="24"/>
          <w:szCs w:val="24"/>
        </w:rPr>
        <w:t xml:space="preserve"> nella Senate Reception Room. All'Ellipse, </w:t>
      </w:r>
      <w:r>
        <w:rPr>
          <w:rFonts w:ascii="Barlow Semi Condensed" w:cs="Barlow Semi Condensed" w:eastAsia="Barlow Semi Condensed" w:hAnsi="Barlow Semi Condensed"/>
          <w:b/>
          <w:bCs/>
          <w:sz w:val="24"/>
          <w:szCs w:val="24"/>
        </w:rPr>
        <w:t xml:space="preserve">cerimonia militare di congedo</w:t>
      </w:r>
      <w:r>
        <w:rPr>
          <w:rFonts w:ascii="Barlow Semi Condensed" w:cs="Barlow Semi Condensed" w:eastAsia="Barlow Semi Condensed" w:hAnsi="Barlow Semi Condensed"/>
          <w:sz w:val="24"/>
          <w:szCs w:val="24"/>
        </w:rPr>
        <w:t xml:space="preserve"> delle Forze Armate, con Humphrey a capo del comitato di commiato. Partenza in corteo per New York; sosta a </w:t>
      </w:r>
      <w:r>
        <w:rPr>
          <w:rFonts w:ascii="Barlow Semi Condensed" w:cs="Barlow Semi Condensed" w:eastAsia="Barlow Semi Condensed" w:hAnsi="Barlow Semi Condensed"/>
          <w:b/>
          <w:bCs/>
          <w:sz w:val="24"/>
          <w:szCs w:val="24"/>
        </w:rPr>
        <w:t xml:space="preserve">Philadelphia</w:t>
      </w:r>
      <w:r>
        <w:rPr>
          <w:rFonts w:ascii="Barlow Semi Condensed" w:cs="Barlow Semi Condensed" w:eastAsia="Barlow Semi Condensed" w:hAnsi="Barlow Semi Condensed"/>
          <w:sz w:val="24"/>
          <w:szCs w:val="24"/>
        </w:rPr>
        <w:t xml:space="preserve">, dove il console generale d'Italia </w:t>
      </w:r>
      <w:r>
        <w:rPr>
          <w:rFonts w:ascii="Barlow Semi Condensed" w:cs="Barlow Semi Condensed" w:eastAsia="Barlow Semi Condensed" w:hAnsi="Barlow Semi Condensed"/>
          <w:b/>
          <w:bCs/>
          <w:sz w:val="24"/>
          <w:szCs w:val="24"/>
        </w:rPr>
        <w:t xml:space="preserve">Gian Piero Nuti</w:t>
      </w:r>
      <w:r>
        <w:rPr>
          <w:rFonts w:ascii="Barlow Semi Condensed" w:cs="Barlow Semi Condensed" w:eastAsia="Barlow Semi Condensed" w:hAnsi="Barlow Semi Condensed"/>
          <w:sz w:val="24"/>
          <w:szCs w:val="24"/>
        </w:rPr>
        <w:t xml:space="preserve"> offre una colazione privata e il sindaco </w:t>
      </w:r>
      <w:r>
        <w:rPr>
          <w:rFonts w:ascii="Barlow Semi Condensed" w:cs="Barlow Semi Condensed" w:eastAsia="Barlow Semi Condensed" w:hAnsi="Barlow Semi Condensed"/>
          <w:b/>
          <w:bCs/>
          <w:sz w:val="24"/>
          <w:szCs w:val="24"/>
        </w:rPr>
        <w:t xml:space="preserve">James H. J. Tate conferisce a Moro la cittadinanza onoraria della città</w:t>
      </w:r>
      <w:r>
        <w:rPr>
          <w:rFonts w:ascii="Barlow Semi Condensed" w:cs="Barlow Semi Condensed" w:eastAsia="Barlow Semi Condensed" w:hAnsi="Barlow Semi Condensed"/>
          <w:sz w:val="24"/>
          <w:szCs w:val="24"/>
        </w:rPr>
        <w:t xml:space="preserve">. In serata arrivo ai Waldorf Towers di New York; ricevimento e cena della comunità italoamericana all'Americana Hotel.</w:t>
      </w:r>
    </w:p>
    <w:p>
      <w:pPr>
        <w:spacing w:after="120" w:line="276"/>
        <w:jc w:val="both"/>
      </w:pPr>
      <w:r>
        <w:rPr>
          <w:rFonts w:ascii="Barlow Semi Condensed" w:cs="Barlow Semi Condensed" w:eastAsia="Barlow Semi Condensed" w:hAnsi="Barlow Semi Condensed"/>
          <w:b/>
          <w:bCs/>
          <w:sz w:val="24"/>
          <w:szCs w:val="24"/>
        </w:rPr>
        <w:t xml:space="preserve">Venerdì 23 aprile.</w:t>
      </w:r>
      <w:r>
        <w:rPr>
          <w:rFonts w:ascii="Barlow Semi Condensed" w:cs="Barlow Semi Condensed" w:eastAsia="Barlow Semi Condensed" w:hAnsi="Barlow Semi Condensed"/>
          <w:sz w:val="24"/>
          <w:szCs w:val="24"/>
        </w:rPr>
        <w:t xml:space="preserve"> A New York, incontro con il sindaco </w:t>
      </w:r>
      <w:r>
        <w:rPr>
          <w:rFonts w:ascii="Barlow Semi Condensed" w:cs="Barlow Semi Condensed" w:eastAsia="Barlow Semi Condensed" w:hAnsi="Barlow Semi Condensed"/>
          <w:b/>
          <w:bCs/>
          <w:sz w:val="24"/>
          <w:szCs w:val="24"/>
        </w:rPr>
        <w:t xml:space="preserve">Robert F. Wagner</w:t>
      </w:r>
      <w:r>
        <w:rPr>
          <w:rFonts w:ascii="Barlow Semi Condensed" w:cs="Barlow Semi Condensed" w:eastAsia="Barlow Semi Condensed" w:hAnsi="Barlow Semi Condensed"/>
          <w:sz w:val="24"/>
          <w:szCs w:val="24"/>
        </w:rPr>
        <w:t xml:space="preserve"> al City Hall. Alle </w:t>
      </w:r>
      <w:r>
        <w:rPr>
          <w:rFonts w:ascii="Barlow Semi Condensed" w:cs="Barlow Semi Condensed" w:eastAsia="Barlow Semi Condensed" w:hAnsi="Barlow Semi Condensed"/>
          <w:b/>
          <w:bCs/>
          <w:sz w:val="24"/>
          <w:szCs w:val="24"/>
        </w:rPr>
        <w:t xml:space="preserve">Nazioni Unite</w:t>
      </w:r>
      <w:r>
        <w:rPr>
          <w:rFonts w:ascii="Barlow Semi Condensed" w:cs="Barlow Semi Condensed" w:eastAsia="Barlow Semi Condensed" w:hAnsi="Barlow Semi Condensed"/>
          <w:sz w:val="24"/>
          <w:szCs w:val="24"/>
        </w:rPr>
        <w:t xml:space="preserve">: colloquio con </w:t>
      </w:r>
      <w:r>
        <w:rPr>
          <w:rFonts w:ascii="Barlow Semi Condensed" w:cs="Barlow Semi Condensed" w:eastAsia="Barlow Semi Condensed" w:hAnsi="Barlow Semi Condensed"/>
          <w:b/>
          <w:bCs/>
          <w:sz w:val="24"/>
          <w:szCs w:val="24"/>
        </w:rPr>
        <w:t xml:space="preserve">Alex Quaison-Sackey</w:t>
      </w:r>
      <w:r>
        <w:rPr>
          <w:rFonts w:ascii="Barlow Semi Condensed" w:cs="Barlow Semi Condensed" w:eastAsia="Barlow Semi Condensed" w:hAnsi="Barlow Semi Condensed"/>
          <w:sz w:val="24"/>
          <w:szCs w:val="24"/>
        </w:rPr>
        <w:t xml:space="preserve">, Presidente dell'Assemblea Generale, e con il Segretario Generale </w:t>
      </w:r>
      <w:r>
        <w:rPr>
          <w:rFonts w:ascii="Barlow Semi Condensed" w:cs="Barlow Semi Condensed" w:eastAsia="Barlow Semi Condensed" w:hAnsi="Barlow Semi Condensed"/>
          <w:b/>
          <w:bCs/>
          <w:sz w:val="24"/>
          <w:szCs w:val="24"/>
        </w:rPr>
        <w:t xml:space="preserve">U Thant</w:t>
      </w:r>
      <w:r>
        <w:rPr>
          <w:rFonts w:ascii="Barlow Semi Condensed" w:cs="Barlow Semi Condensed" w:eastAsia="Barlow Semi Condensed" w:hAnsi="Barlow Semi Condensed"/>
          <w:sz w:val="24"/>
          <w:szCs w:val="24"/>
        </w:rPr>
        <w:t xml:space="preserve">, che offre una colazione in onore dell'ospite. Ricevimento della America-Italy Society di New York e della Italy-American Chamber of Commerce al Waldorf-Astoria. In serata partenza da JFK con volo Alitalia 603 per Roma.</w:t>
      </w:r>
    </w:p>
    <w:p>
      <w:pPr>
        <w:pStyle w:val="Heading3"/>
        <w:spacing w:after="80" w:before="160"/>
      </w:pPr>
      <w:r>
        <w:rPr>
          <w:rFonts w:ascii="Barlow Semi Condensed" w:cs="Barlow Semi Condensed" w:eastAsia="Barlow Semi Condensed" w:hAnsi="Barlow Semi Condensed"/>
          <w:sz w:val="24"/>
          <w:szCs w:val="24"/>
        </w:rPr>
        <w:t xml:space="preserve">Il promemoria di sicurezza al FBI</w:t>
      </w:r>
    </w:p>
    <w:p>
      <w:pPr>
        <w:spacing w:after="120" w:line="276"/>
        <w:jc w:val="both"/>
      </w:pPr>
      <w:r>
        <w:rPr>
          <w:rFonts w:ascii="Barlow Semi Condensed" w:cs="Barlow Semi Condensed" w:eastAsia="Barlow Semi Condensed" w:hAnsi="Barlow Semi Condensed"/>
          <w:sz w:val="24"/>
          <w:szCs w:val="24"/>
        </w:rPr>
        <w:t xml:space="preserve">Al programma è allegato un promemoria interno del Dipartimento di Stato (Washington, aprile 1965) indirizzato </w:t>
      </w:r>
      <w:r>
        <w:rPr>
          <w:rFonts w:ascii="Barlow Semi Condensed" w:cs="Barlow Semi Condensed" w:eastAsia="Barlow Semi Condensed" w:hAnsi="Barlow Semi Condensed"/>
          <w:b/>
          <w:bCs/>
          <w:sz w:val="24"/>
          <w:szCs w:val="24"/>
        </w:rPr>
        <w:t xml:space="preserve">al Direttore del Federal Bureau of Investigation, J. Edgar Hoover</w:t>
      </w:r>
      <w:r>
        <w:rPr>
          <w:rFonts w:ascii="Barlow Semi Condensed" w:cs="Barlow Semi Condensed" w:eastAsia="Barlow Semi Condensed" w:hAnsi="Barlow Semi Condensed"/>
          <w:sz w:val="24"/>
          <w:szCs w:val="24"/>
        </w:rPr>
        <w:t xml:space="preserve">, a firma di </w:t>
      </w:r>
      <w:r>
        <w:rPr>
          <w:rFonts w:ascii="Barlow Semi Condensed" w:cs="Barlow Semi Condensed" w:eastAsia="Barlow Semi Condensed" w:hAnsi="Barlow Semi Condensed"/>
          <w:b/>
          <w:bCs/>
          <w:sz w:val="24"/>
          <w:szCs w:val="24"/>
        </w:rPr>
        <w:t xml:space="preserve">G. Marvin Gentile</w:t>
      </w:r>
      <w:r>
        <w:rPr>
          <w:rFonts w:ascii="Barlow Semi Condensed" w:cs="Barlow Semi Condensed" w:eastAsia="Barlow Semi Condensed" w:hAnsi="Barlow Semi Condensed"/>
          <w:sz w:val="24"/>
          <w:szCs w:val="24"/>
        </w:rPr>
        <w:t xml:space="preserve">, Deputy Assistant Secretary for Security. Comunica l'arrivo di Moro a JFK il 19 aprile 1965 e la permanenza a Washington fino al 22 aprile, e chiede l'assistenza dell'FBI nel fornire «intelligence information of a nature reflecting the presence of any effort designed to cause physical harm or embarrassment to the Principal during his visit» — ordinaria misura di protezione per un capo di governo in visita ufficiale. Nessun contenuto ulteriore è desumibile dal documento.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Strato II — I cablogrammi del sequestro e della morte (aprile–maggio 1978)</w:t>
      </w:r>
    </w:p>
    <w:p>
      <w:pPr>
        <w:spacing w:after="120" w:line="276"/>
        <w:jc w:val="both"/>
      </w:pPr>
      <w:r>
        <w:rPr>
          <w:rFonts w:ascii="Barlow Semi Condensed" w:cs="Barlow Semi Condensed" w:eastAsia="Barlow Semi Condensed" w:hAnsi="Barlow Semi Condensed"/>
          <w:sz w:val="24"/>
          <w:szCs w:val="24"/>
        </w:rPr>
        <w:t xml:space="preserve">Il secondo strato del lotto appartiene ai </w:t>
      </w:r>
      <w:r>
        <w:rPr>
          <w:rFonts w:ascii="Barlow Semi Condensed" w:cs="Barlow Semi Condensed" w:eastAsia="Barlow Semi Condensed" w:hAnsi="Barlow Semi Condensed"/>
          <w:b/>
          <w:bCs/>
          <w:sz w:val="24"/>
          <w:szCs w:val="24"/>
        </w:rPr>
        <w:t xml:space="preserve">55 giorni</w:t>
      </w:r>
      <w:r>
        <w:rPr>
          <w:rFonts w:ascii="Barlow Semi Condensed" w:cs="Barlow Semi Condensed" w:eastAsia="Barlow Semi Condensed" w:hAnsi="Barlow Semi Condensed"/>
          <w:sz w:val="24"/>
          <w:szCs w:val="24"/>
        </w:rPr>
        <w:t xml:space="preserve"> e ai giorni immediatamente successivi alla morte. Sono cablogrammi di ambasciate e consolati statunitensi verso il Dipartimento di Stato, di classificazione </w:t>
      </w:r>
      <w:r>
        <w:rPr>
          <w:rFonts w:ascii="Barlow Semi Condensed" w:cs="Barlow Semi Condensed" w:eastAsia="Barlow Semi Condensed" w:hAnsi="Barlow Semi Condensed"/>
          <w:i/>
          <w:iCs/>
          <w:sz w:val="24"/>
          <w:szCs w:val="24"/>
        </w:rPr>
        <w:t xml:space="preserve">Limited Official Use</w:t>
      </w:r>
      <w:r>
        <w:rPr>
          <w:rFonts w:ascii="Barlow Semi Condensed" w:cs="Barlow Semi Condensed" w:eastAsia="Barlow Semi Condensed" w:hAnsi="Barlow Semi Condensed"/>
          <w:sz w:val="24"/>
          <w:szCs w:val="24"/>
        </w:rPr>
        <w:t xml:space="preserve"> o </w:t>
      </w:r>
      <w:r>
        <w:rPr>
          <w:rFonts w:ascii="Barlow Semi Condensed" w:cs="Barlow Semi Condensed" w:eastAsia="Barlow Semi Condensed" w:hAnsi="Barlow Semi Condensed"/>
          <w:i/>
          <w:iCs/>
          <w:sz w:val="24"/>
          <w:szCs w:val="24"/>
        </w:rPr>
        <w:t xml:space="preserve">Unclassified</w:t>
      </w:r>
      <w:r>
        <w:rPr>
          <w:rFonts w:ascii="Barlow Semi Condensed" w:cs="Barlow Semi Condensed" w:eastAsia="Barlow Semi Condensed" w:hAnsi="Barlow Semi Condensed"/>
          <w:sz w:val="24"/>
          <w:szCs w:val="24"/>
        </w:rPr>
        <w:t xml:space="preserve">, poi desecretati. Si riportano per ciò che attestano; le reazioni citate sono quelle riferite dalle fonti locali ai redattori statunitensi.</w:t>
      </w:r>
    </w:p>
    <w:p>
      <w:pPr>
        <w:pStyle w:val="Heading3"/>
        <w:spacing w:after="80" w:before="160"/>
      </w:pPr>
      <w:r>
        <w:rPr>
          <w:rFonts w:ascii="Barlow Semi Condensed" w:cs="Barlow Semi Condensed" w:eastAsia="Barlow Semi Condensed" w:hAnsi="Barlow Semi Condensed"/>
          <w:sz w:val="24"/>
          <w:szCs w:val="24"/>
        </w:rPr>
        <w:t xml:space="preserve">Buenos Aires: la smentita dei Montoneros (17 aprile 1978)</w:t>
      </w:r>
    </w:p>
    <w:p>
      <w:pPr>
        <w:spacing w:after="120" w:line="276"/>
        <w:jc w:val="both"/>
      </w:pPr>
      <w:r>
        <w:rPr>
          <w:rFonts w:ascii="Barlow Semi Condensed" w:cs="Barlow Semi Condensed" w:eastAsia="Barlow Semi Condensed" w:hAnsi="Barlow Semi Condensed"/>
          <w:sz w:val="24"/>
          <w:szCs w:val="24"/>
        </w:rPr>
        <w:t xml:space="preserve">Cablogramma dell'ambasciata statunitense a Buenos Aires (</w:t>
      </w:r>
      <w:r>
        <w:rPr>
          <w:rFonts w:ascii="Barlow Semi Condensed" w:cs="Barlow Semi Condensed" w:eastAsia="Barlow Semi Condensed" w:hAnsi="Barlow Semi Condensed"/>
          <w:i/>
          <w:iCs/>
          <w:sz w:val="24"/>
          <w:szCs w:val="24"/>
        </w:rPr>
        <w:t xml:space="preserve">Buenos Aires 2881</w:t>
      </w:r>
      <w:r>
        <w:rPr>
          <w:rFonts w:ascii="Barlow Semi Condensed" w:cs="Barlow Semi Condensed" w:eastAsia="Barlow Semi Condensed" w:hAnsi="Barlow Semi Condensed"/>
          <w:sz w:val="24"/>
          <w:szCs w:val="24"/>
        </w:rPr>
        <w:t xml:space="preserve">, in due sezioni, 17 aprile 1978), diretto a SECSTATE Washington e per conoscenza alle ambasciate di </w:t>
      </w:r>
      <w:r>
        <w:rPr>
          <w:rFonts w:ascii="Barlow Semi Condensed" w:cs="Barlow Semi Condensed" w:eastAsia="Barlow Semi Condensed" w:hAnsi="Barlow Semi Condensed"/>
          <w:b/>
          <w:bCs/>
          <w:sz w:val="24"/>
          <w:szCs w:val="24"/>
        </w:rPr>
        <w:t xml:space="preserve">Bonn, Parigi e Roma</w:t>
      </w:r>
      <w:r>
        <w:rPr>
          <w:rFonts w:ascii="Barlow Semi Condensed" w:cs="Barlow Semi Condensed" w:eastAsia="Barlow Semi Condensed" w:hAnsi="Barlow Semi Condensed"/>
          <w:sz w:val="24"/>
          <w:szCs w:val="24"/>
        </w:rPr>
        <w:t xml:space="preserve">. Riferisce di aver ricevuto un documento attribuito al </w:t>
      </w:r>
      <w:r>
        <w:rPr>
          <w:rFonts w:ascii="Barlow Semi Condensed" w:cs="Barlow Semi Condensed" w:eastAsia="Barlow Semi Condensed" w:hAnsi="Barlow Semi Condensed"/>
          <w:b/>
          <w:bCs/>
          <w:sz w:val="24"/>
          <w:szCs w:val="24"/>
        </w:rPr>
        <w:t xml:space="preserve">Partito Montonero</w:t>
      </w:r>
      <w:r>
        <w:rPr>
          <w:rFonts w:ascii="Barlow Semi Condensed" w:cs="Barlow Semi Condensed" w:eastAsia="Barlow Semi Condensed" w:hAnsi="Barlow Semi Condensed"/>
          <w:sz w:val="24"/>
          <w:szCs w:val="24"/>
        </w:rPr>
        <w:t xml:space="preserve"> argentino, trasmesso attraverso il suo «Segretariato Stampa», che chiede pubblicità e nel quale l'organizzazione:</w:t>
      </w:r>
    </w:p>
    <w:p>
      <w:pPr>
        <w:spacing w:after="40"/>
        <w:ind w:left="360"/>
        <w:jc w:val="both"/>
      </w:pPr>
      <w:r>
        <w:rPr>
          <w:rFonts w:ascii="Barlow Semi Condensed" w:cs="Barlow Semi Condensed" w:eastAsia="Barlow Semi Condensed" w:hAnsi="Barlow Semi Condensed"/>
          <w:sz w:val="24"/>
          <w:szCs w:val="24"/>
        </w:rPr>
        <w:t xml:space="preserve">1. </w:t>
      </w:r>
      <w:r>
        <w:rPr>
          <w:rFonts w:ascii="Barlow Semi Condensed" w:cs="Barlow Semi Condensed" w:eastAsia="Barlow Semi Condensed" w:hAnsi="Barlow Semi Condensed"/>
          <w:b/>
          <w:bCs/>
          <w:sz w:val="24"/>
          <w:szCs w:val="24"/>
        </w:rPr>
        <w:t xml:space="preserve">nega ogni connessione con il sequestro di Aldo Moro</w:t>
      </w:r>
      <w:r>
        <w:rPr>
          <w:rFonts w:ascii="Barlow Semi Condensed" w:cs="Barlow Semi Condensed" w:eastAsia="Barlow Semi Condensed" w:hAnsi="Barlow Semi Condensed"/>
          <w:sz w:val="24"/>
          <w:szCs w:val="24"/>
        </w:rPr>
        <w:t xml:space="preserve">, «Presidente della Democrazia Cristiana italiana»;</w:t>
      </w:r>
    </w:p>
    <w:p>
      <w:pPr>
        <w:spacing w:after="40"/>
        <w:ind w:left="360"/>
        <w:jc w:val="both"/>
      </w:pPr>
      <w:r>
        <w:rPr>
          <w:rFonts w:ascii="Barlow Semi Condensed" w:cs="Barlow Semi Condensed" w:eastAsia="Barlow Semi Condensed" w:hAnsi="Barlow Semi Condensed"/>
          <w:sz w:val="24"/>
          <w:szCs w:val="24"/>
        </w:rPr>
        <w:t xml:space="preserve">2. dichiara di non aver mai avuto e di non avere «alcuna connessione o accordo con gruppi delle Brigate Rosse»;</w:t>
      </w:r>
    </w:p>
    <w:p>
      <w:pPr>
        <w:spacing w:after="40"/>
        <w:ind w:left="360"/>
        <w:jc w:val="both"/>
      </w:pPr>
      <w:r>
        <w:rPr>
          <w:rFonts w:ascii="Barlow Semi Condensed" w:cs="Barlow Semi Condensed" w:eastAsia="Barlow Semi Condensed" w:hAnsi="Barlow Semi Condensed"/>
          <w:sz w:val="24"/>
          <w:szCs w:val="24"/>
        </w:rPr>
        <w:t xml:space="preserve">3. denuncia una «campagna diffamatoria» della dittatura militare argentina volta a isolare i Montoneros dalle solidarietà internazionali, in particolare nell'Europa occidentale, e a imputare loro fatti come il sequestro di due religiose francesi a Buenos Aires o presunti legami con i gruppi tedeschi Baader-Meinhof e con una «Internazionale del terrore»;</w:t>
      </w:r>
    </w:p>
    <w:p>
      <w:pPr>
        <w:spacing w:after="120" w:line="276"/>
        <w:jc w:val="both"/>
      </w:pPr>
      <w:r>
        <w:rPr>
          <w:rFonts w:ascii="Barlow Semi Condensed" w:cs="Barlow Semi Condensed" w:eastAsia="Barlow Semi Condensed" w:hAnsi="Barlow Semi Condensed"/>
          <w:sz w:val="24"/>
          <w:szCs w:val="24"/>
        </w:rPr>
        <w:t xml:space="preserve">e ribadisce, in chiusura, il proprio rammarico per «la situazione prevalente in Italia a causa del sequestro di Aldo Moro, fatto che non giustifichiamo né di cui ci assumiamo la responsabilità». Il cablogramma annota che la firma finale, apparentemente autografa, è quella di </w:t>
      </w:r>
      <w:r>
        <w:rPr>
          <w:rFonts w:ascii="Barlow Semi Condensed" w:cs="Barlow Semi Condensed" w:eastAsia="Barlow Semi Condensed" w:hAnsi="Barlow Semi Condensed"/>
          <w:b/>
          <w:bCs/>
          <w:sz w:val="24"/>
          <w:szCs w:val="24"/>
        </w:rPr>
        <w:t xml:space="preserve">Juan Gelman</w:t>
      </w:r>
      <w:r>
        <w:rPr>
          <w:rFonts w:ascii="Barlow Semi Condensed" w:cs="Barlow Semi Condensed" w:eastAsia="Barlow Semi Condensed" w:hAnsi="Barlow Semi Condensed"/>
          <w:sz w:val="24"/>
          <w:szCs w:val="24"/>
        </w:rPr>
        <w:t xml:space="preserve"> (il poeta, allora portavoce europeo dei Montoneros), che firma come «Segretario Generale della Stampa»; la busta risultava impostata e timbrata a Buenos Aires il 3[?] marzo 1978. Firma il cablogramma l'incaricato </w:t>
      </w:r>
      <w:r>
        <w:rPr>
          <w:rFonts w:ascii="Barlow Semi Condensed" w:cs="Barlow Semi Condensed" w:eastAsia="Barlow Semi Condensed" w:hAnsi="Barlow Semi Condensed"/>
          <w:b/>
          <w:bCs/>
          <w:sz w:val="24"/>
          <w:szCs w:val="24"/>
        </w:rPr>
        <w:t xml:space="preserve">Castro</w:t>
      </w:r>
      <w:r>
        <w:rPr>
          <w:rFonts w:ascii="Barlow Semi Condensed" w:cs="Barlow Semi Condensed" w:eastAsia="Barlow Semi Condensed" w:hAnsi="Barlow Semi Condensed"/>
          <w:sz w:val="24"/>
          <w:szCs w:val="24"/>
        </w:rPr>
        <w:t xml:space="preserve">.</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Rilievo.</w:t>
      </w:r>
      <w:r>
        <w:rPr>
          <w:rFonts w:ascii="Barlow Semi Condensed" w:cs="Barlow Semi Condensed" w:eastAsia="Barlow Semi Condensed" w:hAnsi="Barlow Semi Condensed"/>
          <w:i w:val="false"/>
          <w:iCs w:val="false"/>
          <w:sz w:val="24"/>
          <w:szCs w:val="24"/>
        </w:rPr>
        <w:t xml:space="preserve"> Il documento è una </w:t>
      </w:r>
      <w:r>
        <w:rPr>
          <w:rFonts w:ascii="Barlow Semi Condensed" w:cs="Barlow Semi Condensed" w:eastAsia="Barlow Semi Condensed" w:hAnsi="Barlow Semi Condensed"/>
          <w:b/>
          <w:bCs/>
          <w:i w:val="false"/>
          <w:iCs w:val="false"/>
          <w:sz w:val="24"/>
          <w:szCs w:val="24"/>
        </w:rPr>
        <w:t xml:space="preserve">smentita di terzi</w:t>
      </w:r>
      <w:r>
        <w:rPr>
          <w:rFonts w:ascii="Barlow Semi Condensed" w:cs="Barlow Semi Condensed" w:eastAsia="Barlow Semi Condensed" w:hAnsi="Barlow Semi Condensed"/>
          <w:i w:val="false"/>
          <w:iCs w:val="false"/>
          <w:sz w:val="24"/>
          <w:szCs w:val="24"/>
        </w:rPr>
        <w:t xml:space="preserve">, non una fonte sui responsabili del sequestro; va letto come misura del clima internazionale — il caso Moro rimbalzava fino al Sud America e vi si intrecciava con le rivendicazioni e le controrivendicazioni della guerra sporca argentina — e non come elemento istruttorio sul sequestro, i cui autori sono accertati in giudicato nei processi Moro (Brigate Rosse). Nessun nesso fra Montoneros e via Fani è affermato da alcuna fonte; qui è anzi negato dagli stessi chiamati in causa.</w:t>
      </w:r>
    </w:p>
    <w:p>
      <w:pPr>
        <w:pStyle w:val="Heading3"/>
        <w:spacing w:after="80" w:before="160"/>
      </w:pPr>
      <w:r>
        <w:rPr>
          <w:rFonts w:ascii="Barlow Semi Condensed" w:cs="Barlow Semi Condensed" w:eastAsia="Barlow Semi Condensed" w:hAnsi="Barlow Semi Condensed"/>
          <w:sz w:val="24"/>
          <w:szCs w:val="24"/>
        </w:rPr>
        <w:t xml:space="preserve">Le reazioni alla morte: Trieste e Palermo (10–11 maggio 1978)</w:t>
      </w:r>
    </w:p>
    <w:p>
      <w:pPr>
        <w:spacing w:after="120" w:line="276"/>
        <w:jc w:val="both"/>
      </w:pPr>
      <w:r>
        <w:rPr>
          <w:rFonts w:ascii="Barlow Semi Condensed" w:cs="Barlow Semi Condensed" w:eastAsia="Barlow Semi Condensed" w:hAnsi="Barlow Semi Condensed"/>
          <w:sz w:val="24"/>
          <w:szCs w:val="24"/>
        </w:rPr>
        <w:t xml:space="preserve">Dopo il 9 maggio 1978, i consolati statunitensi riferiscono le reazioni regionali all'uccisione.</w:t>
      </w:r>
    </w:p>
    <w:p>
      <w:pPr>
        <w:spacing w:after="120" w:line="276"/>
        <w:jc w:val="both"/>
      </w:pPr>
      <w:r>
        <w:rPr>
          <w:rFonts w:ascii="Barlow Semi Condensed" w:cs="Barlow Semi Condensed" w:eastAsia="Barlow Semi Condensed" w:hAnsi="Barlow Semi Condensed"/>
          <w:b/>
          <w:bCs/>
          <w:sz w:val="24"/>
          <w:szCs w:val="24"/>
        </w:rPr>
        <w:t xml:space="preserve">Consolato di Trieste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Trieste 9223</w:t>
      </w:r>
      <w:r>
        <w:rPr>
          <w:rFonts w:ascii="Barlow Semi Condensed" w:cs="Barlow Semi Condensed" w:eastAsia="Barlow Semi Condensed" w:hAnsi="Barlow Semi Condensed"/>
          <w:sz w:val="24"/>
          <w:szCs w:val="24"/>
        </w:rPr>
        <w:t xml:space="preserve">, «Reactions in Northeast to Moro Assassination»): la notizia della morte fu accolta nel Nord-Est «con sdegno, solidarietà per la famiglia Moro e appelli all'unità contro i terroristi»; il Friuli-Venezia Giulia è definito «for the most part Moro country», e il colpo vi cadde forse più duro che altrove. I muri delle città furono ricoperti, entro poche ore, di manifesti commemorativi listati a lutto con il ritratto di Moro. Sono citate le dichiarazioni del presidente della Giunta friulana </w:t>
      </w:r>
      <w:r>
        <w:rPr>
          <w:rFonts w:ascii="Barlow Semi Condensed" w:cs="Barlow Semi Condensed" w:eastAsia="Barlow Semi Condensed" w:hAnsi="Barlow Semi Condensed"/>
          <w:b/>
          <w:bCs/>
          <w:sz w:val="24"/>
          <w:szCs w:val="24"/>
        </w:rPr>
        <w:t xml:space="preserve">Comelli</w:t>
      </w:r>
      <w:r>
        <w:rPr>
          <w:rFonts w:ascii="Barlow Semi Condensed" w:cs="Barlow Semi Condensed" w:eastAsia="Barlow Semi Condensed" w:hAnsi="Barlow Semi Condensed"/>
          <w:sz w:val="24"/>
          <w:szCs w:val="24"/>
        </w:rPr>
        <w:t xml:space="preserve"> (DC), del presidente del Consiglio regionale </w:t>
      </w:r>
      <w:r>
        <w:rPr>
          <w:rFonts w:ascii="Barlow Semi Condensed" w:cs="Barlow Semi Condensed" w:eastAsia="Barlow Semi Condensed" w:hAnsi="Barlow Semi Condensed"/>
          <w:b/>
          <w:bCs/>
          <w:sz w:val="24"/>
          <w:szCs w:val="24"/>
        </w:rPr>
        <w:t xml:space="preserve">Pittoni</w:t>
      </w:r>
      <w:r>
        <w:rPr>
          <w:rFonts w:ascii="Barlow Semi Condensed" w:cs="Barlow Semi Condensed" w:eastAsia="Barlow Semi Condensed" w:hAnsi="Barlow Semi Condensed"/>
          <w:sz w:val="24"/>
          <w:szCs w:val="24"/>
        </w:rPr>
        <w:t xml:space="preserve"> (PSI), del segretario provinciale DC di Trieste </w:t>
      </w:r>
      <w:r>
        <w:rPr>
          <w:rFonts w:ascii="Barlow Semi Condensed" w:cs="Barlow Semi Condensed" w:eastAsia="Barlow Semi Condensed" w:hAnsi="Barlow Semi Condensed"/>
          <w:b/>
          <w:bCs/>
          <w:sz w:val="24"/>
          <w:szCs w:val="24"/>
        </w:rPr>
        <w:t xml:space="preserve">Dario Rinaldi</w:t>
      </w:r>
      <w:r>
        <w:rPr>
          <w:rFonts w:ascii="Barlow Semi Condensed" w:cs="Barlow Semi Condensed" w:eastAsia="Barlow Semi Condensed" w:hAnsi="Barlow Semi Condensed"/>
          <w:sz w:val="24"/>
          <w:szCs w:val="24"/>
        </w:rPr>
        <w:t xml:space="preserve"> e, nel Veneto, del segretario regionale DC </w:t>
      </w:r>
      <w:r>
        <w:rPr>
          <w:rFonts w:ascii="Barlow Semi Condensed" w:cs="Barlow Semi Condensed" w:eastAsia="Barlow Semi Condensed" w:hAnsi="Barlow Semi Condensed"/>
          <w:b/>
          <w:bCs/>
          <w:sz w:val="24"/>
          <w:szCs w:val="24"/>
        </w:rPr>
        <w:t xml:space="preserve">Foletto</w:t>
      </w:r>
      <w:r>
        <w:rPr>
          <w:rFonts w:ascii="Barlow Semi Condensed" w:cs="Barlow Semi Condensed" w:eastAsia="Barlow Semi Condensed" w:hAnsi="Barlow Semi Condensed"/>
          <w:sz w:val="24"/>
          <w:szCs w:val="24"/>
        </w:rPr>
        <w:t xml:space="preserve"> e del presidente regionale </w:t>
      </w:r>
      <w:r>
        <w:rPr>
          <w:rFonts w:ascii="Barlow Semi Condensed" w:cs="Barlow Semi Condensed" w:eastAsia="Barlow Semi Condensed" w:hAnsi="Barlow Semi Condensed"/>
          <w:b/>
          <w:bCs/>
          <w:sz w:val="24"/>
          <w:szCs w:val="24"/>
        </w:rPr>
        <w:t xml:space="preserve">Tomelleri</w:t>
      </w:r>
      <w:r>
        <w:rPr>
          <w:rFonts w:ascii="Barlow Semi Condensed" w:cs="Barlow Semi Condensed" w:eastAsia="Barlow Semi Condensed" w:hAnsi="Barlow Semi Condensed"/>
          <w:sz w:val="24"/>
          <w:szCs w:val="24"/>
        </w:rPr>
        <w:t xml:space="preserve">. La chiusura anticipata del complesso industriale di Marghera il 9 maggio, con gli operai raccolti in omaggio alla memoria di Moro, è registrata come episodio saliente.</w:t>
      </w:r>
    </w:p>
    <w:p>
      <w:pPr>
        <w:spacing w:after="120" w:line="276"/>
        <w:jc w:val="both"/>
      </w:pPr>
      <w:r>
        <w:rPr>
          <w:rFonts w:ascii="Barlow Semi Condensed" w:cs="Barlow Semi Condensed" w:eastAsia="Barlow Semi Condensed" w:hAnsi="Barlow Semi Condensed"/>
          <w:b/>
          <w:bCs/>
          <w:sz w:val="24"/>
          <w:szCs w:val="24"/>
        </w:rPr>
        <w:t xml:space="preserve">Consolato di Palermo</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Palermo 9487</w:t>
      </w:r>
      <w:r>
        <w:rPr>
          <w:rFonts w:ascii="Barlow Semi Condensed" w:cs="Barlow Semi Condensed" w:eastAsia="Barlow Semi Condensed" w:hAnsi="Barlow Semi Condensed"/>
          <w:sz w:val="24"/>
          <w:szCs w:val="24"/>
        </w:rPr>
        <w:t xml:space="preserve">, «Sicilian Reaction to Moro Murder», 11 maggio 1978): i siciliani «mourned the murdered Aldo Moro with speeches, masses and rallies all over the island on May 10». In Assemblea regionale, il presidente </w:t>
      </w:r>
      <w:r>
        <w:rPr>
          <w:rFonts w:ascii="Barlow Semi Condensed" w:cs="Barlow Semi Condensed" w:eastAsia="Barlow Semi Condensed" w:hAnsi="Barlow Semi Condensed"/>
          <w:b/>
          <w:bCs/>
          <w:sz w:val="24"/>
          <w:szCs w:val="24"/>
        </w:rPr>
        <w:t xml:space="preserve">De Pasquale</w:t>
      </w:r>
      <w:r>
        <w:rPr>
          <w:rFonts w:ascii="Barlow Semi Condensed" w:cs="Barlow Semi Condensed" w:eastAsia="Barlow Semi Condensed" w:hAnsi="Barlow Semi Condensed"/>
          <w:sz w:val="24"/>
          <w:szCs w:val="24"/>
        </w:rPr>
        <w:t xml:space="preserve"> (PCI) accostò il leader DC ucciso ad altri «martiri politici contemporanei», </w:t>
      </w:r>
      <w:r>
        <w:rPr>
          <w:rFonts w:ascii="Barlow Semi Condensed" w:cs="Barlow Semi Condensed" w:eastAsia="Barlow Semi Condensed" w:hAnsi="Barlow Semi Condensed"/>
          <w:b/>
          <w:bCs/>
          <w:sz w:val="24"/>
          <w:szCs w:val="24"/>
        </w:rPr>
        <w:t xml:space="preserve">Giacomo Matteotti e Antonio Gramsci</w:t>
      </w:r>
      <w:r>
        <w:rPr>
          <w:rFonts w:ascii="Barlow Semi Condensed" w:cs="Barlow Semi Condensed" w:eastAsia="Barlow Semi Condensed" w:hAnsi="Barlow Semi Condensed"/>
          <w:sz w:val="24"/>
          <w:szCs w:val="24"/>
        </w:rPr>
        <w:t xml:space="preserve">. Il presidente regionale </w:t>
      </w:r>
      <w:r>
        <w:rPr>
          <w:rFonts w:ascii="Barlow Semi Condensed" w:cs="Barlow Semi Condensed" w:eastAsia="Barlow Semi Condensed" w:hAnsi="Barlow Semi Condensed"/>
          <w:b/>
          <w:bCs/>
          <w:sz w:val="24"/>
          <w:szCs w:val="24"/>
        </w:rPr>
        <w:t xml:space="preserve">Santi Mattarella</w:t>
      </w:r>
      <w:r>
        <w:rPr>
          <w:rFonts w:ascii="Barlow Semi Condensed" w:cs="Barlow Semi Condensed" w:eastAsia="Barlow Semi Condensed" w:hAnsi="Barlow Semi Condensed"/>
          <w:sz w:val="24"/>
          <w:szCs w:val="24"/>
        </w:rPr>
        <w:t xml:space="preserve"> (DC) — indicato come moroteo e amico di famiglia, presente a Roma per la Direzione DC e testimone della scena di via Caetani — commemorò Moro e ne scrisse sul «Giornale di Sicilia» dell'11 maggio come esempio e ispirazione per tutti gli italiani. Nella cattedrale di Palermo, il </w:t>
      </w:r>
      <w:r>
        <w:rPr>
          <w:rFonts w:ascii="Barlow Semi Condensed" w:cs="Barlow Semi Condensed" w:eastAsia="Barlow Semi Condensed" w:hAnsi="Barlow Semi Condensed"/>
          <w:b/>
          <w:bCs/>
          <w:sz w:val="24"/>
          <w:szCs w:val="24"/>
        </w:rPr>
        <w:t xml:space="preserve">cardinale Salvatore Pappalardo</w:t>
      </w:r>
      <w:r>
        <w:rPr>
          <w:rFonts w:ascii="Barlow Semi Condensed" w:cs="Barlow Semi Condensed" w:eastAsia="Barlow Semi Condensed" w:hAnsi="Barlow Semi Condensed"/>
          <w:sz w:val="24"/>
          <w:szCs w:val="24"/>
        </w:rPr>
        <w:t xml:space="preserve"> celebrò il 10 maggio una messa di mezzogiorno commemorando Moro e tutte le vittime del terrorismo con una condanna della violenza. Nel pomeriggio, un corteo promosso dalla DC mosse in silenzio verso il monumento ai caduti; al memoriale, mentre le bandiere rosse di PCI, PSI e CGIL si mescolavano a quelle bianche della DC, un insistente coro </w:t>
      </w:r>
      <w:r>
        <w:rPr>
          <w:rFonts w:ascii="Barlow Semi Condensed" w:cs="Barlow Semi Condensed" w:eastAsia="Barlow Semi Condensed" w:hAnsi="Barlow Semi Condensed"/>
          <w:i/>
          <w:iCs/>
          <w:sz w:val="24"/>
          <w:szCs w:val="24"/>
        </w:rPr>
        <w:t xml:space="preserve">«fuori le bandiere rosse»</w:t>
      </w:r>
      <w:r>
        <w:rPr>
          <w:rFonts w:ascii="Barlow Semi Condensed" w:cs="Barlow Semi Condensed" w:eastAsia="Barlow Semi Condensed" w:hAnsi="Barlow Semi Condensed"/>
          <w:sz w:val="24"/>
          <w:szCs w:val="24"/>
        </w:rPr>
        <w:t xml:space="preserve"> fu infine sovrastato dagli appelli all'</w:t>
      </w:r>
      <w:r>
        <w:rPr>
          <w:rFonts w:ascii="Barlow Semi Condensed" w:cs="Barlow Semi Condensed" w:eastAsia="Barlow Semi Condensed" w:hAnsi="Barlow Semi Condensed"/>
          <w:i/>
          <w:iCs/>
          <w:sz w:val="24"/>
          <w:szCs w:val="24"/>
        </w:rPr>
        <w:t xml:space="preserve">«unità»</w:t>
      </w:r>
      <w:r>
        <w:rPr>
          <w:rFonts w:ascii="Barlow Semi Condensed" w:cs="Barlow Semi Condensed" w:eastAsia="Barlow Semi Condensed" w:hAnsi="Barlow Semi Condensed"/>
          <w:sz w:val="24"/>
          <w:szCs w:val="24"/>
        </w:rPr>
        <w:t xml:space="preserve">.</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Rilievo.</w:t>
      </w:r>
      <w:r>
        <w:rPr>
          <w:rFonts w:ascii="Barlow Semi Condensed" w:cs="Barlow Semi Condensed" w:eastAsia="Barlow Semi Condensed" w:hAnsi="Barlow Semi Condensed"/>
          <w:i w:val="false"/>
          <w:iCs w:val="false"/>
          <w:sz w:val="24"/>
          <w:szCs w:val="24"/>
        </w:rPr>
        <w:t xml:space="preserve"> Questi cablogrammi documentano, per fonte terza e coeva, l'ampiezza e il carattere del cordoglio nazionale — la commozione, la richiesta di unità, l'accostamento di Moro alla tradizione dei «martiri» dell'antifascismo — e la percezione del suo assassinio come frattura civile. Sono materiali del lutto pubblico, non dell'accertamento sui responsabili.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Rilievo d'insieme</w:t>
      </w:r>
    </w:p>
    <w:p>
      <w:pPr>
        <w:spacing w:after="120" w:line="276"/>
        <w:jc w:val="both"/>
      </w:pPr>
      <w:r>
        <w:rPr>
          <w:rFonts w:ascii="Barlow Semi Condensed" w:cs="Barlow Semi Condensed" w:eastAsia="Barlow Semi Condensed" w:hAnsi="Barlow Semi Condensed"/>
          <w:sz w:val="24"/>
          <w:szCs w:val="24"/>
        </w:rPr>
        <w:t xml:space="preserve">Il lotto del Dipartimento di Stato non aggiunge fatti istruttori al caso Moro: il suo valore è di </w:t>
      </w:r>
      <w:r>
        <w:rPr>
          <w:rFonts w:ascii="Barlow Semi Condensed" w:cs="Barlow Semi Condensed" w:eastAsia="Barlow Semi Condensed" w:hAnsi="Barlow Semi Condensed"/>
          <w:b/>
          <w:bCs/>
          <w:sz w:val="24"/>
          <w:szCs w:val="24"/>
        </w:rPr>
        <w:t xml:space="preserve">cornice</w:t>
      </w:r>
      <w:r>
        <w:rPr>
          <w:rFonts w:ascii="Barlow Semi Condensed" w:cs="Barlow Semi Condensed" w:eastAsia="Barlow Semi Condensed" w:hAnsi="Barlow Semi Condensed"/>
          <w:sz w:val="24"/>
          <w:szCs w:val="24"/>
        </w:rPr>
        <w:t xml:space="preserve">. Da un lato mostra, nel 1965, la statura del Moro Presidente del Consiglio ricevuto con onori pieni da Johnson, dal Congresso, dall'ONU — un capo di governo dell'alleato mediterraneo trattato come interlocutore di primo piano. Dall'altro, tredici anni dopo, restituisce l'onda del sequestro e della morte quale le cancellerie e i consolati americani la registrarono in tempo reale, dall'Argentina all'Italia. Le due estremità del lotto — il ricevimento del 1965 e il lutto del 1978 — inquadrano per contrasto la parabola dell'uomo di cui trattano gli altri documenti di questa cartella. Nessuna imputazione oltre il giudicato; nessun nesso affermato che le fonti non attestino.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 Condensed" w:cs="Barlow Semi Condensed" w:eastAsia="Barlow Semi Condensed" w:hAnsi="Barlow Semi Condense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Barlow Semi Condensed" w:cs="Barlow Semi Condensed" w:eastAsia="Barlow Semi Condensed" w:hAnsi="Barlow Semi Condensed"/>
      <w:b/>
      <w:bCs/>
      <w:color w:val="1F3864"/>
      <w:sz w:val="32"/>
      <w:szCs w:val="32"/>
    </w:rPr>
  </w:style>
  <w:style w:type="paragraph" w:styleId="Heading2">
    <w:name w:val="Heading 2"/>
    <w:basedOn w:val="Normal"/>
    <w:next w:val="Normal"/>
    <w:qFormat/>
    <w:pPr>
      <w:spacing w:after="100" w:before="200"/>
    </w:pPr>
    <w:rPr>
      <w:rFonts w:ascii="Barlow Semi Condensed" w:cs="Barlow Semi Condensed" w:eastAsia="Barlow Semi Condensed" w:hAnsi="Barlow Semi Condensed"/>
      <w:b/>
      <w:bCs/>
      <w:color w:val="1F3864"/>
      <w:sz w:val="28"/>
      <w:szCs w:val="28"/>
    </w:rPr>
  </w:style>
  <w:style w:type="paragraph" w:styleId="Heading3">
    <w:name w:val="Heading 3"/>
    <w:basedOn w:val="Normal"/>
    <w:next w:val="Normal"/>
    <w:qFormat/>
    <w:pPr>
      <w:spacing w:after="80" w:before="160"/>
    </w:pPr>
    <w:rPr>
      <w:rFonts w:ascii="Barlow Semi Condensed" w:cs="Barlow Semi Condensed" w:eastAsia="Barlow Semi Condensed" w:hAnsi="Barlow Semi Condensed"/>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2026-08-25T17:35:31.838Z</dcterms:created>
  <dcterms:modified xsi:type="dcterms:W3CDTF">2026-08-25T17:35:31.838Z</dcterms:modified>
</cp:coreProperties>
</file>

<file path=docProps/custom.xml><?xml version="1.0" encoding="utf-8"?>
<Properties xmlns="http://schemas.openxmlformats.org/officeDocument/2006/custom-properties" xmlns:vt="http://schemas.openxmlformats.org/officeDocument/2006/docPropsVTypes"/>
</file>