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Opera completa</w:t>
      </w:r>
    </w:p>
    <w:p>
      <w:pPr>
        <w:spacing w:after="120" w:line="276"/>
        <w:jc w:val="both"/>
      </w:pPr>
      <w:r>
        <w:rPr>
          <w:rFonts w:ascii="Barlow Semi Condensed" w:cs="Barlow Semi Condensed" w:eastAsia="Barlow Semi Condensed" w:hAnsi="Barlow Semi Condensed"/>
          <w:b/>
          <w:bCs/>
          <w:sz w:val="24"/>
          <w:szCs w:val="24"/>
        </w:rPr>
        <w:t xml:space="preserve">Il ritratto · la tesi · il dossier · il metodo · il registro · il repertorio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Questo volume raccoglie l'intera opera «Aldo Moro — Una guerra senza fine» nell'ordine di lettura consigliato, che mette l'uomo al principio. </w:t>
      </w:r>
      <w:r>
        <w:rPr>
          <w:rFonts w:ascii="Barlow Semi Condensed" w:cs="Barlow Semi Condensed" w:eastAsia="Barlow Semi Condensed" w:hAnsi="Barlow Semi Condensed"/>
          <w:b/>
          <w:bCs/>
          <w:i w:val="false"/>
          <w:iCs w:val="false"/>
          <w:sz w:val="24"/>
          <w:szCs w:val="24"/>
        </w:rPr>
        <w:t xml:space="preserve">Fase ottava</w:t>
      </w:r>
      <w:r>
        <w:rPr>
          <w:rFonts w:ascii="Barlow Semi Condensed" w:cs="Barlow Semi Condensed" w:eastAsia="Barlow Semi Condensed" w:hAnsi="Barlow Semi Condensed"/>
          <w:i w:val="false"/>
          <w:iCs w:val="false"/>
          <w:sz w:val="24"/>
          <w:szCs w:val="24"/>
        </w:rPr>
        <w:t xml:space="preserve"> (Il ritratto): Moro l'uomo e lo statista, perché il caso non si capisce senza la persona. </w:t>
      </w:r>
      <w:r>
        <w:rPr>
          <w:rFonts w:ascii="Barlow Semi Condensed" w:cs="Barlow Semi Condensed" w:eastAsia="Barlow Semi Condensed" w:hAnsi="Barlow Semi Condensed"/>
          <w:b/>
          <w:bCs/>
          <w:i w:val="false"/>
          <w:iCs w:val="false"/>
          <w:sz w:val="24"/>
          <w:szCs w:val="24"/>
        </w:rPr>
        <w:t xml:space="preserve">Dal Che a Moro</w:t>
      </w:r>
      <w:r>
        <w:rPr>
          <w:rFonts w:ascii="Barlow Semi Condensed" w:cs="Barlow Semi Condensed" w:eastAsia="Barlow Semi Condensed" w:hAnsi="Barlow Semi Condensed"/>
          <w:i w:val="false"/>
          <w:iCs w:val="false"/>
          <w:sz w:val="24"/>
          <w:szCs w:val="24"/>
        </w:rPr>
        <w:t xml:space="preserve">: il saggio-cerniera che espone la tesi e la sua cornice (con la Parte quarta, pastiche dichiarato). </w:t>
      </w:r>
      <w:r>
        <w:rPr>
          <w:rFonts w:ascii="Barlow Semi Condensed" w:cs="Barlow Semi Condensed" w:eastAsia="Barlow Semi Condensed" w:hAnsi="Barlow Semi Condensed"/>
          <w:b/>
          <w:bCs/>
          <w:i w:val="false"/>
          <w:iCs w:val="false"/>
          <w:sz w:val="24"/>
          <w:szCs w:val="24"/>
        </w:rPr>
        <w:t xml:space="preserve">Parte terza</w:t>
      </w:r>
      <w:r>
        <w:rPr>
          <w:rFonts w:ascii="Barlow Semi Condensed" w:cs="Barlow Semi Condensed" w:eastAsia="Barlow Semi Condensed" w:hAnsi="Barlow Semi Condensed"/>
          <w:i w:val="false"/>
          <w:iCs w:val="false"/>
          <w:sz w:val="24"/>
          <w:szCs w:val="24"/>
        </w:rPr>
        <w:t xml:space="preserve"> (Il ritorno del Pollo di Popper): il dossier falsificazionista delle questioni aperte. </w:t>
      </w:r>
      <w:r>
        <w:rPr>
          <w:rFonts w:ascii="Barlow Semi Condensed" w:cs="Barlow Semi Condensed" w:eastAsia="Barlow Semi Condensed" w:hAnsi="Barlow Semi Condensed"/>
          <w:b/>
          <w:bCs/>
          <w:i w:val="false"/>
          <w:iCs w:val="false"/>
          <w:sz w:val="24"/>
          <w:szCs w:val="24"/>
        </w:rPr>
        <w:t xml:space="preserve">Fase sesta</w:t>
      </w:r>
      <w:r>
        <w:rPr>
          <w:rFonts w:ascii="Barlow Semi Condensed" w:cs="Barlow Semi Condensed" w:eastAsia="Barlow Semi Condensed" w:hAnsi="Barlow Semi Condensed"/>
          <w:i w:val="false"/>
          <w:iCs w:val="false"/>
          <w:sz w:val="24"/>
          <w:szCs w:val="24"/>
        </w:rPr>
        <w:t xml:space="preserve"> (Il presidio del garante): le quattro discipline rese operative. </w:t>
      </w:r>
      <w:r>
        <w:rPr>
          <w:rFonts w:ascii="Barlow Semi Condensed" w:cs="Barlow Semi Condensed" w:eastAsia="Barlow Semi Condensed" w:hAnsi="Barlow Semi Condensed"/>
          <w:b/>
          <w:bCs/>
          <w:i w:val="false"/>
          <w:iCs w:val="false"/>
          <w:sz w:val="24"/>
          <w:szCs w:val="24"/>
        </w:rPr>
        <w:t xml:space="preserve">Fase settima</w:t>
      </w:r>
      <w:r>
        <w:rPr>
          <w:rFonts w:ascii="Barlow Semi Condensed" w:cs="Barlow Semi Condensed" w:eastAsia="Barlow Semi Condensed" w:hAnsi="Barlow Semi Condensed"/>
          <w:i w:val="false"/>
          <w:iCs w:val="false"/>
          <w:sz w:val="24"/>
          <w:szCs w:val="24"/>
        </w:rPr>
        <w:t xml:space="preserve"> (Il registro giudiziario): i cinque processi e la Commissione Moro 2. </w:t>
      </w:r>
      <w:r>
        <w:rPr>
          <w:rFonts w:ascii="Barlow Semi Condensed" w:cs="Barlow Semi Condensed" w:eastAsia="Barlow Semi Condensed" w:hAnsi="Barlow Semi Condensed"/>
          <w:b/>
          <w:bCs/>
          <w:i w:val="false"/>
          <w:iCs w:val="false"/>
          <w:sz w:val="24"/>
          <w:szCs w:val="24"/>
        </w:rPr>
        <w:t xml:space="preserve">Fase nona</w:t>
      </w:r>
      <w:r>
        <w:rPr>
          <w:rFonts w:ascii="Barlow Semi Condensed" w:cs="Barlow Semi Condensed" w:eastAsia="Barlow Semi Condensed" w:hAnsi="Barlow Semi Condensed"/>
          <w:i w:val="false"/>
          <w:iCs w:val="false"/>
          <w:sz w:val="24"/>
          <w:szCs w:val="24"/>
        </w:rPr>
        <w:t xml:space="preserve"> (Il repertorio): tutto ciò che è attribuibile al caso, gradato. </w:t>
      </w:r>
      <w:r>
        <w:rPr>
          <w:rFonts w:ascii="Barlow Semi Condensed" w:cs="Barlow Semi Condensed" w:eastAsia="Barlow Semi Condensed" w:hAnsi="Barlow Semi Condensed"/>
          <w:b/>
          <w:bCs/>
          <w:i w:val="false"/>
          <w:iCs w:val="false"/>
          <w:sz w:val="24"/>
          <w:szCs w:val="24"/>
        </w:rPr>
        <w:t xml:space="preserve">Fase decima</w:t>
      </w:r>
      <w:r>
        <w:rPr>
          <w:rFonts w:ascii="Barlow Semi Condensed" w:cs="Barlow Semi Condensed" w:eastAsia="Barlow Semi Condensed" w:hAnsi="Barlow Semi Condensed"/>
          <w:i w:val="false"/>
          <w:iCs w:val="false"/>
          <w:sz w:val="24"/>
          <w:szCs w:val="24"/>
        </w:rPr>
        <w:t xml:space="preserve"> (Il principio personalistico): la colpa non è mai del gruppo, è sempre della persona — il registro nominativo delle responsabilità individuali in giudicato. </w:t>
      </w:r>
      <w:r>
        <w:rPr>
          <w:rFonts w:ascii="Barlow Semi Condensed" w:cs="Barlow Semi Condensed" w:eastAsia="Barlow Semi Condensed" w:hAnsi="Barlow Semi Condensed"/>
          <w:b/>
          <w:bCs/>
          <w:i w:val="false"/>
          <w:iCs w:val="false"/>
          <w:sz w:val="24"/>
          <w:szCs w:val="24"/>
        </w:rPr>
        <w:t xml:space="preserve">Apparato dei gradi</w:t>
      </w:r>
      <w:r>
        <w:rPr>
          <w:rFonts w:ascii="Barlow Semi Condensed" w:cs="Barlow Semi Condensed" w:eastAsia="Barlow Semi Condensed" w:hAnsi="Barlow Semi Condensed"/>
          <w:i w:val="false"/>
          <w:iCs w:val="false"/>
          <w:sz w:val="24"/>
          <w:szCs w:val="24"/>
        </w:rPr>
        <w:t xml:space="preserve">: l'indice analitico, in appendice.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Vale in ogni pagina la Regola di Ferro: si distingue sempre il </w:t>
      </w:r>
      <w:r>
        <w:rPr>
          <w:rFonts w:ascii="Barlow Semi Condensed" w:cs="Barlow Semi Condensed" w:eastAsia="Barlow Semi Condensed" w:hAnsi="Barlow Semi Condensed"/>
          <w:b/>
          <w:bCs/>
          <w:i w:val="false"/>
          <w:iCs w:val="false"/>
          <w:sz w:val="24"/>
          <w:szCs w:val="24"/>
        </w:rPr>
        <w:t xml:space="preserve">giudicato</w:t>
      </w:r>
      <w:r>
        <w:rPr>
          <w:rFonts w:ascii="Barlow Semi Condensed" w:cs="Barlow Semi Condensed" w:eastAsia="Barlow Semi Condensed" w:hAnsi="Barlow Semi Condensed"/>
          <w:i w:val="false"/>
          <w:iCs w:val="false"/>
          <w:sz w:val="24"/>
          <w:szCs w:val="24"/>
        </w:rPr>
        <w:t xml:space="preserve"> (grado A), l'</w:t>
      </w:r>
      <w:r>
        <w:rPr>
          <w:rFonts w:ascii="Barlow Semi Condensed" w:cs="Barlow Semi Condensed" w:eastAsia="Barlow Semi Condensed" w:hAnsi="Barlow Semi Condensed"/>
          <w:b/>
          <w:bCs/>
          <w:i w:val="false"/>
          <w:iCs w:val="false"/>
          <w:sz w:val="24"/>
          <w:szCs w:val="24"/>
        </w:rPr>
        <w:t xml:space="preserve">accertamento</w:t>
      </w:r>
      <w:r>
        <w:rPr>
          <w:rFonts w:ascii="Barlow Semi Condensed" w:cs="Barlow Semi Condensed" w:eastAsia="Barlow Semi Condensed" w:hAnsi="Barlow Semi Condensed"/>
          <w:i w:val="false"/>
          <w:iCs w:val="false"/>
          <w:sz w:val="24"/>
          <w:szCs w:val="24"/>
        </w:rPr>
        <w:t xml:space="preserve"> parlamentare o istruttorio (grado B), la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e il </w:t>
      </w:r>
      <w:r>
        <w:rPr>
          <w:rFonts w:ascii="Barlow Semi Condensed" w:cs="Barlow Semi Condensed" w:eastAsia="Barlow Semi Condensed" w:hAnsi="Barlow Semi Condensed"/>
          <w:b/>
          <w:bCs/>
          <w:i w:val="false"/>
          <w:iCs w:val="false"/>
          <w:sz w:val="24"/>
          <w:szCs w:val="24"/>
        </w:rPr>
        <w:t xml:space="preserve">fatto pubblico</w:t>
      </w:r>
      <w:r>
        <w:rPr>
          <w:rFonts w:ascii="Barlow Semi Condensed" w:cs="Barlow Semi Condensed" w:eastAsia="Barlow Semi Condensed" w:hAnsi="Barlow Semi Condensed"/>
          <w:i w:val="false"/>
          <w:iCs w:val="false"/>
          <w:sz w:val="24"/>
          <w:szCs w:val="24"/>
        </w:rPr>
        <w:t xml:space="preserve"> (F). Nessuna persona è nominata come responsabile al di là del giudicato; nessuna graduatoria è compilata; le sei vittime del caso stanno in cima, non in fondo. La Parte quarta di «Dal Che a Moro» è un </w:t>
      </w:r>
      <w:r>
        <w:rPr>
          <w:rFonts w:ascii="Barlow Semi Condensed" w:cs="Barlow Semi Condensed" w:eastAsia="Barlow Semi Condensed" w:hAnsi="Barlow Semi Condensed"/>
          <w:b/>
          <w:bCs/>
          <w:i w:val="false"/>
          <w:iCs w:val="false"/>
          <w:sz w:val="24"/>
          <w:szCs w:val="24"/>
        </w:rPr>
        <w:t xml:space="preserve">pastiche dichiarato</w:t>
      </w:r>
      <w:r>
        <w:rPr>
          <w:rFonts w:ascii="Barlow Semi Condensed" w:cs="Barlow Semi Condensed" w:eastAsia="Barlow Semi Condensed" w:hAnsi="Barlow Semi Condensed"/>
          <w:i w:val="false"/>
          <w:iCs w:val="false"/>
          <w:sz w:val="24"/>
          <w:szCs w:val="24"/>
        </w:rPr>
        <w:t xml:space="preserve"> (non parole di Aldo Moro); tutto il resto è prosa piana su fatti reali.</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r>
        <w:br w:type="page"/>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r>
        <w:br w:type="page"/>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2026-08-25T17:35:32.771Z</dcterms:created>
  <dcterms:modified xsi:type="dcterms:W3CDTF">2026-08-25T17:35:32.771Z</dcterms:modified>
</cp:coreProperties>
</file>

<file path=docProps/custom.xml><?xml version="1.0" encoding="utf-8"?>
<Properties xmlns="http://schemas.openxmlformats.org/officeDocument/2006/custom-properties" xmlns:vt="http://schemas.openxmlformats.org/officeDocument/2006/docPropsVTypes"/>
</file>