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Le tre nuove Fasi: il registro, il ritratto, il repertorio</w:t>
      </w:r>
    </w:p>
    <w:p>
      <w:pPr>
        <w:spacing w:after="120" w:line="276"/>
        <w:jc w:val="both"/>
      </w:pPr>
      <w:r>
        <w:rPr>
          <w:rFonts w:ascii="Barlow Semi Condensed" w:cs="Barlow Semi Condensed" w:eastAsia="Barlow Semi Condensed" w:hAnsi="Barlow Semi Condensed"/>
          <w:b/>
          <w:bCs/>
          <w:sz w:val="24"/>
          <w:szCs w:val="24"/>
        </w:rPr>
        <w:t xml:space="preserve">Fase settima — Il registro giudiziario</w:t>
      </w:r>
      <w:r>
        <w:rPr>
          <w:rFonts w:ascii="Barlow Semi Condensed" w:cs="Barlow Semi Condensed" w:eastAsia="Barlow Semi Condensed" w:hAnsi="Barlow Semi Condensed"/>
          <w:sz w:val="24"/>
          <w:szCs w:val="24"/>
        </w:rPr>
        <w:t xml:space="preserve"> · i cinque processi e la Commissione Moro 2</w:t>
      </w:r>
    </w:p>
    <w:p>
      <w:pPr>
        <w:spacing w:after="120" w:line="276"/>
        <w:jc w:val="both"/>
      </w:pPr>
      <w:r>
        <w:rPr>
          <w:rFonts w:ascii="Barlow Semi Condensed" w:cs="Barlow Semi Condensed" w:eastAsia="Barlow Semi Condensed" w:hAnsi="Barlow Semi Condensed"/>
          <w:b/>
          <w:bCs/>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b/>
          <w:bCs/>
          <w:sz w:val="24"/>
          <w:szCs w:val="24"/>
        </w:rPr>
        <w:t xml:space="preserve">Fase nona — Il repertorio del caso: tutto ciò che è attribuibile, e con che grado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rilegata delle continuazioni — 25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Questo volume raccoglie le tre continuazioni più recenti dell'opera «Aldo Moro — Una guerra senza fine» (capitoli 56-76), da leggersi dopo la Parte terza (il dossier delle questioni aperte) e la Fase sesta (il presidio del garante). L'ordine di lettura consigliato inverte quello di composizione: </w:t>
      </w:r>
      <w:r>
        <w:rPr>
          <w:rFonts w:ascii="Barlow Semi Condensed" w:cs="Barlow Semi Condensed" w:eastAsia="Barlow Semi Condensed" w:hAnsi="Barlow Semi Condensed"/>
          <w:b/>
          <w:bCs/>
          <w:i w:val="false"/>
          <w:iCs w:val="false"/>
          <w:sz w:val="24"/>
          <w:szCs w:val="24"/>
        </w:rPr>
        <w:t xml:space="preserve">prima il ritratto</w:t>
      </w:r>
      <w:r>
        <w:rPr>
          <w:rFonts w:ascii="Barlow Semi Condensed" w:cs="Barlow Semi Condensed" w:eastAsia="Barlow Semi Condensed" w:hAnsi="Barlow Semi Condensed"/>
          <w:i w:val="false"/>
          <w:iCs w:val="false"/>
          <w:sz w:val="24"/>
          <w:szCs w:val="24"/>
        </w:rPr>
        <w:t xml:space="preserve"> (Fase ottava), perché il caso non si capisce senza la persona; </w:t>
      </w:r>
      <w:r>
        <w:rPr>
          <w:rFonts w:ascii="Barlow Semi Condensed" w:cs="Barlow Semi Condensed" w:eastAsia="Barlow Semi Condensed" w:hAnsi="Barlow Semi Condensed"/>
          <w:b/>
          <w:bCs/>
          <w:i w:val="false"/>
          <w:iCs w:val="false"/>
          <w:sz w:val="24"/>
          <w:szCs w:val="24"/>
        </w:rPr>
        <w:t xml:space="preserve">poi il registro giudiziario</w:t>
      </w:r>
      <w:r>
        <w:rPr>
          <w:rFonts w:ascii="Barlow Semi Condensed" w:cs="Barlow Semi Condensed" w:eastAsia="Barlow Semi Condensed" w:hAnsi="Barlow Semi Condensed"/>
          <w:i w:val="false"/>
          <w:iCs w:val="false"/>
          <w:sz w:val="24"/>
          <w:szCs w:val="24"/>
        </w:rPr>
        <w:t xml:space="preserve"> (Fase settima), che àncora tutto agli atti; </w:t>
      </w:r>
      <w:r>
        <w:rPr>
          <w:rFonts w:ascii="Barlow Semi Condensed" w:cs="Barlow Semi Condensed" w:eastAsia="Barlow Semi Condensed" w:hAnsi="Barlow Semi Condensed"/>
          <w:b/>
          <w:bCs/>
          <w:i w:val="false"/>
          <w:iCs w:val="false"/>
          <w:sz w:val="24"/>
          <w:szCs w:val="24"/>
        </w:rPr>
        <w:t xml:space="preserve">infine il repertorio</w:t>
      </w:r>
      <w:r>
        <w:rPr>
          <w:rFonts w:ascii="Barlow Semi Condensed" w:cs="Barlow Semi Condensed" w:eastAsia="Barlow Semi Condensed" w:hAnsi="Barlow Semi Condensed"/>
          <w:i w:val="false"/>
          <w:iCs w:val="false"/>
          <w:sz w:val="24"/>
          <w:szCs w:val="24"/>
        </w:rPr>
        <w:t xml:space="preserve"> (Fase nona), come strumento di consultazione.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Vale in ogni pagina la Regola di Ferro dell'opera: si distingue sempre il </w:t>
      </w:r>
      <w:r>
        <w:rPr>
          <w:rFonts w:ascii="Barlow Semi Condensed" w:cs="Barlow Semi Condensed" w:eastAsia="Barlow Semi Condensed" w:hAnsi="Barlow Semi Condensed"/>
          <w:b/>
          <w:bCs/>
          <w:i w:val="false"/>
          <w:iCs w:val="false"/>
          <w:sz w:val="24"/>
          <w:szCs w:val="24"/>
        </w:rPr>
        <w:t xml:space="preserve">giudicato</w:t>
      </w:r>
      <w:r>
        <w:rPr>
          <w:rFonts w:ascii="Barlow Semi Condensed" w:cs="Barlow Semi Condensed" w:eastAsia="Barlow Semi Condensed" w:hAnsi="Barlow Semi Condensed"/>
          <w:i w:val="false"/>
          <w:iCs w:val="false"/>
          <w:sz w:val="24"/>
          <w:szCs w:val="24"/>
        </w:rPr>
        <w:t xml:space="preserve"> (grado A), l'</w:t>
      </w:r>
      <w:r>
        <w:rPr>
          <w:rFonts w:ascii="Barlow Semi Condensed" w:cs="Barlow Semi Condensed" w:eastAsia="Barlow Semi Condensed" w:hAnsi="Barlow Semi Condensed"/>
          <w:b/>
          <w:bCs/>
          <w:i w:val="false"/>
          <w:iCs w:val="false"/>
          <w:sz w:val="24"/>
          <w:szCs w:val="24"/>
        </w:rPr>
        <w:t xml:space="preserve">accertamento parlamentare o istruttorio</w:t>
      </w:r>
      <w:r>
        <w:rPr>
          <w:rFonts w:ascii="Barlow Semi Condensed" w:cs="Barlow Semi Condensed" w:eastAsia="Barlow Semi Condensed" w:hAnsi="Barlow Semi Condensed"/>
          <w:i w:val="false"/>
          <w:iCs w:val="false"/>
          <w:sz w:val="24"/>
          <w:szCs w:val="24"/>
        </w:rPr>
        <w:t xml:space="preserve"> (grado B), la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e il </w:t>
      </w:r>
      <w:r>
        <w:rPr>
          <w:rFonts w:ascii="Barlow Semi Condensed" w:cs="Barlow Semi Condensed" w:eastAsia="Barlow Semi Condensed" w:hAnsi="Barlow Semi Condensed"/>
          <w:b/>
          <w:bCs/>
          <w:i w:val="false"/>
          <w:iCs w:val="false"/>
          <w:sz w:val="24"/>
          <w:szCs w:val="24"/>
        </w:rPr>
        <w:t xml:space="preserve">fatto pubblico</w:t>
      </w:r>
      <w:r>
        <w:rPr>
          <w:rFonts w:ascii="Barlow Semi Condensed" w:cs="Barlow Semi Condensed" w:eastAsia="Barlow Semi Condensed" w:hAnsi="Barlow Semi Condensed"/>
          <w:i w:val="false"/>
          <w:iCs w:val="false"/>
          <w:sz w:val="24"/>
          <w:szCs w:val="24"/>
        </w:rPr>
        <w:t xml:space="preserve"> (grado F). Nessuna persona è nominata come responsabile al di là del giudicato; nessuna graduatoria è compilata; le sei vittime del caso stanno in cima, non in fondo. Prosa piana su fatti reali; dove l'opera altrove ha usato il pastiche, qui non ce n'è.</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2026-08-25T17:35:32.555Z</dcterms:created>
  <dcterms:modified xsi:type="dcterms:W3CDTF">2026-08-25T17:35:32.555Z</dcterms:modified>
</cp:coreProperties>
</file>

<file path=docProps/custom.xml><?xml version="1.0" encoding="utf-8"?>
<Properties xmlns="http://schemas.openxmlformats.org/officeDocument/2006/custom-properties" xmlns:vt="http://schemas.openxmlformats.org/officeDocument/2006/docPropsVTypes"/>
</file>