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Fra il 2025 e il 2026 ho diretto la costruzione di un corpus di ricerca storica sul caso Moro e sul suo contesto internazionale, prodotto con sistemi di intelligenza artificiale sotto una disciplina metodologica scritta prima del lavoro.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1.331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2026-08-26T14:59:09.799Z</dcterms:created>
  <dcterms:modified xsi:type="dcterms:W3CDTF">2026-08-26T14:59:09.799Z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