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w:t>
      </w:r>
      <w:r>
        <w:rPr>
          <w:rFonts w:ascii="Barlow Semi Condensed" w:cs="Barlow Semi Condensed" w:eastAsia="Barlow Semi Condensed" w:hAnsi="Barlow Semi Condensed"/>
          <w:i/>
          <w:iCs/>
          <w:sz w:val="24"/>
          <w:szCs w:val="24"/>
        </w:rPr>
        <w:t xml:space="preserve">È il quarto dei sette, ed è stato scelto come estratto perché è il più verificabile: ogni sua affermazione può essere controllata da chi legge, in mezz'ora, senza uscire di casa e senza chiedere niente a nessuno. Il capitolo si chiude con l'esercizio che permette di 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 Basta accennarle e la sala le completa. Una di queste dice, più o meno, che nel settembre del 1974 il Segretario di Stato americano avvertì Aldo Moro che se avesse insistito sulla sua linea politica l'avrebbe pagata cara. Le versioni oscillano — «la pagherà cara», «smetta o ne subirà le conseguenze» — ma la sostanza circola compatta da quarant'anni, e circola sempre agganciata a un appiglio documentale preciso: </w:t>
      </w:r>
      <w:r>
        <w:rPr>
          <w:rFonts w:ascii="Barlow Semi Condensed" w:cs="Barlow Semi Condensed" w:eastAsia="Barlow Semi Condensed" w:hAnsi="Barlow Semi Condensed"/>
          <w:b/>
          <w:bCs/>
          <w:sz w:val="24"/>
          <w:szCs w:val="24"/>
        </w:rPr>
        <w:t xml:space="preserve">il verbale del colloquio dello Studio Ovale del 25 settembre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 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 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 arrivati qui, è di scrivere che la storia è smontata; e sarebbe un errore dello 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Presenti: il Presidente della Repubblica italiana Giovanni Leone, il ministro degli Esteri Aldo Moro, il Presidente degli Stati Uniti Gerald Ford, il Segretario di Stato Henry Kissinger, e Brent Scowcroft, allora vice consigliere per la sicurezza nazionale, che dei colloqui presidenziali era anche il 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 ma il resoconto redatto da uno dei presenti, in inglese, per uso interno dell'amministrazione. È stato pubblicato come *</w:t>
      </w:r>
      <w:r>
        <w:rPr>
          <w:rFonts w:ascii="Barlow Semi Condensed" w:cs="Barlow Semi Condensed" w:eastAsia="Barlow Semi Condensed" w:hAnsi="Barlow Semi Condensed"/>
          <w:i/>
          <w:iCs/>
          <w:sz w:val="24"/>
          <w:szCs w:val="24"/>
        </w:rPr>
        <w:t xml:space="preserve">documento 350 del volume </w:t>
      </w:r>
      <w:r>
        <w:rPr>
          <w:rFonts w:ascii="Barlow Semi Condensed" w:cs="Barlow Semi Condensed" w:eastAsia="Barlow Semi Condensed" w:hAnsi="Barlow Semi Condensed"/>
          <w:sz w:val="24"/>
          <w:szCs w:val="24"/>
        </w:rPr>
        <w:t xml:space="preserve">Foreign Relations of the United States</w:t>
      </w:r>
      <w:r>
        <w:rPr>
          <w:rFonts w:ascii="Barlow Semi Condensed" w:cs="Barlow Semi Condensed" w:eastAsia="Barlow Semi Condensed" w:hAnsi="Barlow Semi Condensed"/>
          <w:i/>
          <w:iCs/>
          <w:sz w:val="24"/>
          <w:szCs w:val="24"/>
        </w:rPr>
        <w:t xml:space="preserve">, 1969-1976, E-15, parte 2</w:t>
      </w:r>
      <w:r>
        <w:rPr>
          <w:rFonts w:ascii="Barlow Semi Condensed" w:cs="Barlow Semi Condensed" w:eastAsia="Barlow Semi Condensed" w:hAnsi="Barlow Semi Condensed"/>
          <w:i/>
          <w:iCs/>
          <w:sz w:val="24"/>
          <w:szCs w:val="24"/>
        </w:rPr>
        <w:t xml:space="preserve">, ed è conservato come </w:t>
      </w:r>
      <w:r>
        <w:rPr>
          <w:rFonts w:ascii="Barlow Semi Condensed" w:cs="Barlow Semi Condensed" w:eastAsia="Barlow Semi Condensed" w:hAnsi="Barlow Semi Condensed"/>
          <w:i/>
          <w:i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 dei documenti non è garantita identica fra le edizioni. Chi cita «documento 350» senza dire quale edizione sta citando consegna al lettore un riferimento che fra dieci anni potrebbe non risolvere. Ho perso un pomeriggio su questo, e lo scrivo 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della stessa biblioteca presidenziale), relativo a un incontro del giorno successivo. Sui suoi contenuti gli estratti che ho potuto reperire sono parziali e non del tutto concordi fra loro. Lo segnalo perché è il primo posto dove guarderebbe chiunque volesse obiettare a questo capitolo, e ha ragione di 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 perché il criterio di questo libro è riportarle tutte anche quando non pesano: il comunicato congiunto pubblicato negli atti presidenziali parla di visita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 Non ho elementi per sciogliere la divergenza. Non serve scioglierla per 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esplicitamente — il Portogallo del 1974, dopo il 25 aprile, era in quel momento la ferita aperta dell'Alleanza. E vi è messo a verbale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 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 messa nero su bianco da chi la esprimeva, in presenza del ministro degli Esteri italiano, in un documento d'archivio. Chi volesse sostenere che gli Stati Uniti guardassero con favore alla linea di Moro troverebbe qui la sua smentita, e non 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 molto più specifica: che in quella stanza, quel giorno, a quell'uomo, sia stata 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 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 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 descrizioni d'archivio della biblioteca presidenziale e ogni resa del contenuto che ho potuto raccogliere </w:t>
      </w:r>
      <w:r>
        <w:rPr>
          <w:rFonts w:ascii="Barlow Semi Condensed" w:cs="Barlow Semi Condensed" w:eastAsia="Barlow Semi Condensed" w:hAnsi="Barlow Semi Condensed"/>
          <w:b/>
          <w:bCs/>
          <w:sz w:val="24"/>
          <w:szCs w:val="24"/>
        </w:rPr>
        <w:t xml:space="preserve">riportano le due posizioni politiche appena citate e non riportano la frase</w:t>
      </w:r>
      <w:r>
        <w:rPr>
          <w:rFonts w:ascii="Barlow Semi Condensed" w:cs="Barlow Semi Condensed" w:eastAsia="Barlow Semi Condensed" w:hAnsi="Barlow Semi Condensed"/>
          <w:sz w:val="24"/>
          <w:szCs w:val="24"/>
        </w:rPr>
        <w:t xml:space="preserve">. Nessuna delle fonti che affermano la minaccia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 contesto. La distanza fra queste due operazioni è tutto ciò di cui tratta questo 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 nota. La campagna di ricerca da cui questo capitolo nasce </w:t>
      </w:r>
      <w:r>
        <w:rPr>
          <w:rFonts w:ascii="Barlow Semi Condensed" w:cs="Barlow Semi Condensed" w:eastAsia="Barlow Semi Condensed" w:hAnsi="Barlow Semi Condensed"/>
          <w:b/>
          <w:bCs/>
          <w:sz w:val="24"/>
          <w:szCs w:val="24"/>
        </w:rPr>
        <w:t xml:space="preserve">ha lavorato con un accesso di rete filtrato</w:t>
      </w:r>
      <w:r>
        <w:rPr>
          <w:rFonts w:ascii="Barlow Semi Condensed" w:cs="Barlow Semi Condensed" w:eastAsia="Barlow Semi Condensed" w:hAnsi="Barlow Semi Condensed"/>
          <w:sz w:val="24"/>
          <w:szCs w:val="24"/>
        </w:rPr>
        <w:t xml:space="preserve">, e per una parte dei materiali primari ha dovuto appoggiarsi a sintesi e a fonti secondarie invece che alla pagina originale. Questo vale in modo particolarmente pesante per due giacimenti che avrebbero 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 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 contiene la frase» detto con la voce di chi ha collazionato l'originale riga per 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 posso firmare. E ha una proprietà che la versione forte non avrebbe: </w:t>
      </w:r>
      <w:r>
        <w:rPr>
          <w:rFonts w:ascii="Barlow Semi Condensed" w:cs="Barlow Semi Condensed" w:eastAsia="Barlow Semi Condensed" w:hAnsi="Barlow Semi Condensed"/>
          <w:b/>
          <w:bCs/>
          <w:sz w:val="24"/>
          <w:szCs w:val="24"/>
        </w:rPr>
        <w:t xml:space="preserve">è falsificabile da chi legge</w:t>
      </w:r>
      <w:r>
        <w:rPr>
          <w:rFonts w:ascii="Barlow Semi Condensed" w:cs="Barlow Semi Condensed" w:eastAsia="Barlow Semi Condensed" w:hAnsi="Barlow Semi Condensed"/>
          <w:sz w:val="24"/>
          <w:szCs w:val="24"/>
        </w:rPr>
        <w:t xml:space="preserve">. Se sbaglio, si vede subito, e si vede senza credermi sulla parola. Nel capitolo secondo ho chiamato questa cosa la regola 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 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w:t>
      </w:r>
      <w:r>
        <w:rPr>
          <w:rFonts w:ascii="Barlow Semi Condensed" w:cs="Barlow Semi Condensed" w:eastAsia="Barlow Semi Condensed" w:hAnsi="Barlow Semi Condensed"/>
          <w:b/>
          <w:bCs/>
          <w:sz w:val="24"/>
          <w:szCs w:val="24"/>
        </w:rPr>
        <w:t xml:space="preserve">la frase, secondo chi la riporta, non sarebbe stata pronunciata nel colloquio ufficiale.</w:t>
      </w:r>
      <w:r>
        <w:rPr>
          <w:rFonts w:ascii="Barlow Semi Condensed" w:cs="Barlow Semi Condensed" w:eastAsia="Barlow Semi Condensed" w:hAnsi="Barlow Semi Condensed"/>
          <w:sz w:val="24"/>
          <w:szCs w:val="24"/>
        </w:rPr>
        <w:t xml:space="preserve"> Sarebbe stata detta a margine — in un fuori programma, in 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 la riunione, non i corridoi. Il verbalizzante annota ciò che si dice al tavolo. 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w:t>
      </w:r>
      <w:r>
        <w:rPr>
          <w:rFonts w:ascii="Barlow Semi Condensed" w:cs="Barlow Semi Condensed" w:eastAsia="Barlow Semi Condensed" w:hAnsi="Barlow Semi Condensed"/>
          <w:b/>
          <w:bCs/>
          <w:sz w:val="24"/>
          <w:szCs w:val="24"/>
        </w:rPr>
        <w:t xml:space="preserve">L'assenza dal verbale non prova né la falsità né la verità dell'episodio.</w:t>
      </w:r>
      <w:r>
        <w:rPr>
          <w:rFonts w:ascii="Barlow Semi Condensed" w:cs="Barlow Semi Condensed" w:eastAsia="Barlow Semi Condensed" w:hAnsi="Barlow Semi Condensed"/>
          <w:sz w:val="24"/>
          <w:szCs w:val="24"/>
        </w:rPr>
        <w:t xml:space="preserve"> Un fatto avvenuto fuori verbale è, per definizione, un fatto che il verbale non registra; e pretendere il contrario significherebbe sostenere che tutto ciò che non è archiviato non è accaduto, che è una sciocchezza dimostrabile in ogni giornata di lavoro di 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w:t>
      </w:r>
      <w:r>
        <w:rPr>
          <w:rFonts w:ascii="Barlow Semi Condensed" w:cs="Barlow Semi Condensed" w:eastAsia="Barlow Semi Condensed" w:hAnsi="Barlow Semi Condensed"/>
          <w:b/>
          <w:bCs/>
          <w:sz w:val="24"/>
          <w:szCs w:val="24"/>
        </w:rPr>
        <w:t xml:space="preserve">Il documento smette di essere una prova e torna a essere un contesto.</w:t>
      </w:r>
      <w:r>
        <w:rPr>
          <w:rFonts w:ascii="Barlow Semi Condensed" w:cs="Barlow Semi Condensed" w:eastAsia="Barlow Semi Condensed" w:hAnsi="Barlow Semi Condensed"/>
          <w:sz w:val="24"/>
          <w:szCs w:val="24"/>
        </w:rPr>
        <w:t xml:space="preserve"> L'operazione che la circolazione pubblica compie da decenni — presentare il verbale dello Studio Ovale come </w:t>
      </w:r>
      <w:r>
        <w:rPr>
          <w:rFonts w:ascii="Barlow Semi Condensed" w:cs="Barlow Semi Condensed" w:eastAsia="Barlow Semi Condensed" w:hAnsi="Barlow Semi Condensed"/>
          <w:i/>
          <w:iCs/>
          <w:sz w:val="24"/>
          <w:szCs w:val="24"/>
        </w:rPr>
        <w:t xml:space="preserve">la prova documentale</w:t>
      </w:r>
      <w:r>
        <w:rPr>
          <w:rFonts w:ascii="Barlow Semi Condensed" w:cs="Barlow Semi Condensed" w:eastAsia="Barlow Semi Condensed" w:hAnsi="Barlow Semi Condensed"/>
          <w:sz w:val="24"/>
          <w:szCs w:val="24"/>
        </w:rPr>
        <w:t xml:space="preserve"> della minaccia — è un'operazione che il documento non regge. La minaccia, se fu detta, fu detta altrove: e allora il verbale non c'entra, e chi lo esibisce sta 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w:t>
      </w:r>
      <w:r>
        <w:rPr>
          <w:rFonts w:ascii="Barlow Semi Condensed" w:cs="Barlow Semi Condensed" w:eastAsia="Barlow Semi Condensed" w:hAnsi="Barlow Semi Condensed"/>
          <w:b/>
          <w:bCs/>
          <w:sz w:val="24"/>
          <w:szCs w:val="24"/>
        </w:rPr>
        <w:t xml:space="preserve">l'unico oggetto materiale a cui si era attaccata</w:t>
      </w:r>
      <w:r>
        <w:rPr>
          <w:rFonts w:ascii="Barlow Semi Condensed" w:cs="Barlow Semi Condensed" w:eastAsia="Barlow Semi Condensed" w:hAnsi="Barlow Semi Condensed"/>
          <w:sz w:val="24"/>
          <w:szCs w:val="24"/>
        </w:rPr>
        <w:t xml:space="preserve">, e l'ho restituita a ciò che è sempre stata: una testimonianza. Contesa, indiretta, resa anni dopo. Il capitolo successivo si 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 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 Ma una fonte d'agenzia statunitense coeva — un lancio dell'aprile 1983 — riferiva che i magistrati che allora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 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 ricordato male nei particolari. È un episodio </w:t>
      </w:r>
      <w:r>
        <w:rPr>
          <w:rFonts w:ascii="Barlow Semi Condensed" w:cs="Barlow Semi Condensed" w:eastAsia="Barlow Semi Condensed" w:hAnsi="Barlow Semi Condensed"/>
          <w:b/>
          <w:bCs/>
          <w:sz w:val="24"/>
          <w:szCs w:val="24"/>
        </w:rPr>
        <w:t xml:space="preserve">la cui identità stessa non è fissata</w:t>
      </w:r>
      <w:r>
        <w:rPr>
          <w:rFonts w:ascii="Barlow Semi Condensed" w:cs="Barlow Semi Condensed" w:eastAsia="Barlow Semi Condensed" w:hAnsi="Barlow Semi Condensed"/>
          <w:sz w:val="24"/>
          <w:szCs w:val="24"/>
        </w:rPr>
        <w:t xml:space="preserve">: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Il suo mandato era finito il 20 gennaio di quell'anno. Chi colloca l'episodio nel 1977 sta raccontando un uomo che parla da privato cittadino; chi lo colloca nel 1974 sta raccontando il capo della diplomazia americana in carica che parla a un ministro degli Esteri alleato. Sono due fatti di natura giuridica e politica completamente diversa, e in circolazione stanno 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 serve a stabilire se qualcuno mente. Serve a stabilire </w:t>
      </w:r>
      <w:r>
        <w:rPr>
          <w:rFonts w:ascii="Barlow Semi Condensed" w:cs="Barlow Semi Condensed" w:eastAsia="Barlow Semi Condensed" w:hAnsi="Barlow Semi Condensed"/>
          <w:b/>
          <w:bCs/>
          <w:sz w:val="24"/>
          <w:szCs w:val="24"/>
        </w:rPr>
        <w:t xml:space="preserve">di che cosa si stia parlando</w:t>
      </w:r>
      <w:r>
        <w:rPr>
          <w:rFonts w:ascii="Barlow Semi Condensed" w:cs="Barlow Semi Condensed" w:eastAsia="Barlow Semi Condensed" w:hAnsi="Barlow Semi Condensed"/>
          <w:sz w:val="24"/>
          <w:szCs w:val="24"/>
        </w:rPr>
        <w:t xml:space="preserve">,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 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portavoce di Moro, Corrado Guerzoni, depose come teste davanti alla Corte d'assise di Roma nel novembre 1982</w:t>
      </w:r>
      <w:r>
        <w:rPr>
          <w:rFonts w:ascii="Barlow Semi Condensed" w:cs="Barlow Semi Condensed" w:eastAsia="Barlow Semi Condensed" w:hAnsi="Barlow Semi Condensed"/>
          <w:sz w:val="24"/>
          <w:szCs w:val="24"/>
        </w:rPr>
        <w:t xml:space="preserve"> — il 10, secondo la datazione più ricorrente; una fonte indica il 15, e la divergenza resta lì irrisolta. Ma 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Questo dato è quello che le riprese omettono più spesso, e cambia tutto. Non squalifica la deposizione — un teste indiretto è un teste, e la sua deposizione è un atto processuale — ma la colloca dove 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 il presidente della corte, richiamando quanto detto dal portavoce, a ottenere 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 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qui devo di nuovo dichiarare un grado.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un riferimento a minacce risalenti al 1975 e crescenti nel tempo. Sede confermata, contenuto no. Sono due piani, e vanno tenuti separati anche 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È testimonianza giornalistica di un solo interlocutore, non un comunicato: vale quanto vale, e va detto quanto vale. Già nel 1983, però, l'agenzia americana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 portavoce personale sul merito. E un dato che pesa: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 la richiesta informale del 1983 non ebbe 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w:t>
      </w:r>
      <w:r>
        <w:rPr>
          <w:rFonts w:ascii="Barlow Semi Condensed" w:cs="Barlow Semi Condensed" w:eastAsia="Barlow Semi Condensed" w:hAnsi="Barlow Semi Condensed"/>
          <w:b/>
          <w:bCs/>
          <w:sz w:val="24"/>
          <w:szCs w:val="24"/>
        </w:rPr>
        <w:t xml:space="preserve">perché Moro non parlava inglese</w:t>
      </w:r>
      <w:r>
        <w:rPr>
          <w:rFonts w:ascii="Barlow Semi Condensed" w:cs="Barlow Semi Condensed" w:eastAsia="Barlow Semi Condensed" w:hAnsi="Barlow Semi Condensed"/>
          <w:sz w:val="24"/>
          <w:szCs w:val="24"/>
        </w:rPr>
        <w:t xml:space="preserve">; lo stesso testimone, altrove, ha però descritto un colloquio politicamente durissimo, distinguendo il rimprovero aspro dalla minaccia.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 plausibilità materiale di uno scambio verbale diretto e riservato: una minaccia sussurrata a margine ha bisogno di una lingua comune, o di un terzo che traduca — e un terzo che traduce è un testimone in più, di cui non si ha notizia. Ma non concludo neppure di qui, per una ragione semplice: </w:t>
      </w:r>
      <w:r>
        <w:rPr>
          <w:rFonts w:ascii="Barlow Semi Condensed" w:cs="Barlow Semi Condensed" w:eastAsia="Barlow Semi Condensed" w:hAnsi="Barlow Semi Condensed"/>
          <w:b/>
          <w:bCs/>
          <w:sz w:val="24"/>
          <w:szCs w:val="24"/>
        </w:rPr>
        <w:t xml:space="preserve">nessuna di queste smentite proviene da un presente al colloquio riservato</w:t>
      </w:r>
      <w:r>
        <w:rPr>
          <w:rFonts w:ascii="Barlow Semi Condensed" w:cs="Barlow Semi Condensed" w:eastAsia="Barlow Semi Condensed" w:hAnsi="Barlow Semi Condensed"/>
          <w:sz w:val="24"/>
          <w:szCs w:val="24"/>
        </w:rPr>
        <w:t xml:space="preserve">. Chi nega non c'era più di 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 siti, aggregatori, enciclopedie collaborative, blog. La sensazione, per il 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 E la convergenza di fonti indipendenti è, giustamente, uno dei criteri più solidi 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w:t>
      </w:r>
      <w:r>
        <w:rPr>
          <w:rFonts w:ascii="Barlow Semi Condensed" w:cs="Barlow Semi Condensed" w:eastAsia="Barlow Semi Condensed" w:hAnsi="Barlow Semi Condensed"/>
          <w:b/>
          <w:bCs/>
          <w:sz w:val="24"/>
          <w:szCs w:val="24"/>
        </w:rPr>
        <w:t xml:space="preserve">in forma pressoché identica</w:t>
      </w:r>
      <w:r>
        <w:rPr>
          <w:rFonts w:ascii="Barlow Semi Condensed" w:cs="Barlow Semi Condensed" w:eastAsia="Barlow Semi Condensed" w:hAnsi="Barlow Semi Condensed"/>
          <w:sz w:val="24"/>
          <w:szCs w:val="24"/>
        </w:rPr>
        <w:t xml:space="preserve">, con gli stessi incisi e gli stessi errori, e risalgono — a spoglio — 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 Kissinger. Sul piano internazionale la vicenda era già stata rilanciata nel 1982 da una pubblicazione di orientamento apertamente cospirazionista, che è dato di 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 ripetizioni non aggiunge un grammo di valore probatorio: è replicazione senza 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 peggiore, e per una ragione strutturale, non per un difetto correggibile. Un sistema addestrato su testi ha visto quella frase cento volte. Cento occorrenze, 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 si presenta in contesti coerenti. Che le cento occorrenze abbiano un solo 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 copie porta scritto da dove viene. Bisogna andarla a cercare, con lo spoglio, a 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 diversi, che cosa fosse successo il 25 settembre 1974. Ho ricevuto risposte fluenti, corrette nella forma, prudenti nel tono, e concordi nell'attribuire la frase a quel giorno e a quella stanza. Non è una loro patologia. È il comportamento previsto di uno strumento che misura la frequenza e non la discendenza — e la stessa cosa che fa un lettore umano quando apre cinque 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w:t>
      </w:r>
      <w:r>
        <w:rPr>
          <w:rFonts w:ascii="Barlow Semi Condensed" w:cs="Barlow Semi Condensed" w:eastAsia="Barlow Semi Condensed" w:hAnsi="Barlow Semi Condensed"/>
          <w:b/>
          <w:bCs/>
          <w:sz w:val="24"/>
          <w:szCs w:val="24"/>
        </w:rPr>
        <w:t xml:space="preserve">Ha eseguito il nostro, più in 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 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 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 ministro degli Esteri italiano. Un ministro degli Esteri che esce da un 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 telespresso, una nota di gabinetto, un promemoria per il Presidente del Consiglio. È prassi ordinaria, quotidiana, noiosa. Non è un'eccezione: è il 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 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 qualcosa. Da cinquant'anni si discute di che cosa fu detto in quella stanza. La discussione si svolge, su un fronte, con una fonte sola e straniera, e sull'altro con una testimonianza orale resa otto anni dopo. E nessuno, in mezzo secolo, ha 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conta in tutte e tre le direzioni, 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 carteggi del gabinetto del ministro, annata 1974, con verifica preliminare dei faldoni sul portale dell'archivio. In subordine: </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carte della Presidenza del Consiglio dello stesso periodo; e </w:t>
      </w:r>
      <w:r>
        <w:rPr>
          <w:rFonts w:ascii="Barlow Semi Condensed" w:cs="Barlow Semi Condensed" w:eastAsia="Barlow Semi Condensed" w:hAnsi="Barlow Semi Condensed"/>
          <w:b/>
          <w:bCs/>
          <w:sz w:val="24"/>
          <w:szCs w:val="24"/>
        </w:rPr>
        <w:t xml:space="preserve">Fondo Moro</w:t>
      </w:r>
      <w:r>
        <w:rPr>
          <w:rFonts w:ascii="Barlow Semi Condensed" w:cs="Barlow Semi Condensed" w:eastAsia="Barlow Semi Condensed" w:hAnsi="Barlow Semi Condensed"/>
          <w:sz w:val="24"/>
          <w:szCs w:val="24"/>
        </w:rPr>
        <w:t xml:space="preserve"> presso l'Archivio storico del Senato. Se le carte di gabinetto non conservano l'appunto, resta la memorialistica politica, dove i colloqui con Washington sono spesso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presso la Fondazione che ne porta il nome, in gran parte digitalizzato. 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 tacesse sull'episodio, tenuto da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 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 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 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 documento comunemente esibito come sua prova non la contiene, e che la frase, se 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 testimoniale è colto in contraddizione con sé stesso. Una testimonianza indiretta resa in buona fede a otto anni di distanza è esattamente ciò che ci si aspetta di 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 sul sequestro, sulla prigionia, sulla morte di Aldo Moro. Non indica responsabili, non propone piste, non chiude né apre alcuna delle questioni del caso. Henry Kissinger non fu condannato in alcun processo, non fu mai imputato né processato in alcun Paese, e nessuna sentenza definitiva ha attribuito ad alcuna autorità statunitense responsabilità penali nel sequestro e nell'omicidio: le condanne definitive riguardano esponenti delle Brigate Rosse. L'episodio non ha mai formato oggetto d'imputazione. Questo va scritto ogni volta, e non per 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 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 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 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 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i/>
          <w:iCs/>
          <w:sz w:val="24"/>
          <w:szCs w:val="24"/>
        </w:rPr>
        <w:t xml:space="preserve">Ogni capitolo si chiude con un esercizio eseguibile. Questo richiede circa due ore, una connessione, nessun accesso a pagamento e nessuna competenza tecnica. 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r>
        <w:rPr>
          <w:rFonts w:ascii="Barlow Semi Condensed" w:cs="Barlow Semi Condensed" w:eastAsia="Barlow Semi Condensed" w:hAnsi="Barlow Semi Condensed"/>
          <w:sz w:val="24"/>
          <w:szCs w:val="24"/>
        </w:rPr>
        <w:t xml:space="preserve"> Si scelga una qualunque affermazione circolante che riguardi un fatto storico recente e che appaia sostenuta da molte fonti concordi. Si raccolgano </w:t>
      </w:r>
      <w:r>
        <w:rPr>
          <w:rFonts w:ascii="Barlow Semi Condensed" w:cs="Barlow Semi Condensed" w:eastAsia="Barlow Semi Condensed" w:hAnsi="Barlow Semi Condensed"/>
          <w:b/>
          <w:bCs/>
          <w:sz w:val="24"/>
          <w:szCs w:val="24"/>
        </w:rPr>
        <w:t xml:space="preserve">almeno dodici</w:t>
      </w:r>
      <w:r>
        <w:rPr>
          <w:rFonts w:ascii="Barlow Semi Condensed" w:cs="Barlow Semi Condensed" w:eastAsia="Barlow Semi Condensed" w:hAnsi="Barlow Semi Condensed"/>
          <w:sz w:val="24"/>
          <w:szCs w:val="24"/>
        </w:rPr>
        <w:t xml:space="preserve"> pagine che la riportano. Per ciascuna si registri in tabella: indirizzo, </w:t>
      </w: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 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w:t>
      </w:r>
      <w:r>
        <w:rPr>
          <w:rFonts w:ascii="Barlow Semi Condensed" w:cs="Barlow Semi Condensed" w:eastAsia="Barlow Semi Condensed" w:hAnsi="Barlow Semi Condensed"/>
          <w:b/>
          <w:bCs/>
          <w:sz w:val="24"/>
          <w:szCs w:val="24"/>
        </w:rPr>
        <w:t xml:space="preserve">realmente diverse</w:t>
      </w:r>
      <w:r>
        <w:rPr>
          <w:rFonts w:ascii="Barlow Semi Condensed" w:cs="Barlow Semi Condensed" w:eastAsia="Barlow Semi Condensed" w:hAnsi="Barlow Semi Condensed"/>
          <w:sz w:val="24"/>
          <w:szCs w:val="24"/>
        </w:rPr>
        <w:t xml:space="preserve"> ci sono, e non semplicemente riscritte? Qual è la data più antica? Quella pagina cita a sua volta qualcuno? Quante delle dodici sono, alla fine, 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r>
        <w:rPr>
          <w:rFonts w:ascii="Barlow Semi Condensed" w:cs="Barlow Semi Condensed" w:eastAsia="Barlow Semi Condensed" w:hAnsi="Barlow Semi Condensed"/>
          <w:sz w:val="24"/>
          <w:szCs w:val="24"/>
        </w:rPr>
        <w:t xml:space="preserve"> 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 (edizione riveduta), oppure il file 1552802 della Gerald R. Ford Presidential 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 1974. Si trascrivano i passaggi che riguardano la posizione americana sul PCI. 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 più alto che si sarebbe tentati di usare, una seconda al grado che le prove effettivamente reggono. Si confrontino. La distanza fra le due è la misura di 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 aspetta di trovare cercando «Stati Uniti 1974» nel portale dell'Archivio storico 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 sullo schermo e un valore completamente diverso. L'unico modo per distinguerli è aver scritto l'attesa prima. È il contenuto del capitolo sesto, e questo è il 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2026-08-29T04:59:31.337Z</dcterms:created>
  <dcterms:modified xsi:type="dcterms:W3CDTF">2026-08-29T04:59:31.337Z</dcterms:modified>
</cp:coreProperties>
</file>

<file path=docProps/custom.xml><?xml version="1.0" encoding="utf-8"?>
<Properties xmlns="http://schemas.openxmlformats.org/officeDocument/2006/custom-properties" xmlns:vt="http://schemas.openxmlformats.org/officeDocument/2006/docPropsVTypes"/>
</file>