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i/>
          <w:iCs/>
          <w:sz w:val="24"/>
          <w:szCs w:val="24"/>
        </w:rPr>
        <w:t xml:space="preserve">Redatta il 27 agosto 2026, cifre aggiornate alla sesta edizione dello stesso giorno. Prodotta con sistemi di intelligenza artificiale 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 accerta: la PEC riguarda il Centro documentazione Archivio «Flamigni» ETS — e il suo indirizzo non è ancora stato reperito. Tutti gli altri ricevono per 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 trasmette come PEC dove la PEC esiste, come email ordinaria dove è la via istituzionale, si incolla nei moduli dove il modulo è obbligatorio, si stampa 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 pratiche. La prima: una sola PEC con dodici destinatari espone a ciascuno il recapito degli altri undici. La seconda: fra i destinatari ci sono nove case editrici, e mostrare a ciascuna che la stessa proposta è partita simultaneamente per le altre otto è il modo più rapido di far chiudere il fascicolo a tutte. Il dossier di invio organizza apposta la spedizione in 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Zenodo, da inserire a deposito avvenuto]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sz w:val="24"/>
          <w:szCs w:val="24"/>
        </w:rPr>
        <w:t xml:space="preserve">Trasmissione di opera documentale sul caso Moro, prodotta con sistemi di intelligenza artificiale sotto direzione umana — «Aldo Moro. Ottanta anni di Pace», oltre 2.500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 internazionale, di cui sono autore e responsabile, perché codesto ente possa valutarla per quanto di sua competenza: la conservazione e il deposito, se è istituto d'archivio; la pubblicazione o la valutazione editoriale, se è casa editrice; la lettura e l'eventuale segnalazione, in ogni altro caso.</w:t>
      </w:r>
    </w:p>
    <w:p>
      <w:pPr>
        <w:spacing w:after="120" w:line="276"/>
        <w:jc w:val="both"/>
      </w:pPr>
      <w:r>
        <w:rPr>
          <w:rFonts w:ascii="Barlow Semi Condensed" w:cs="Barlow Semi Condensed" w:eastAsia="Barlow Semi Condensed" w:hAnsi="Barlow Semi Condensed"/>
          <w:b/>
          <w:bCs/>
          <w:sz w:val="24"/>
          <w:szCs w:val="24"/>
        </w:rPr>
        <w:t xml:space="preserve">Dichiaro in apertura, e non in calce, che l'opera è stata prodotta con l'ausilio di sistemi di intelligenza artificiale, sotto la mia direzione e la mia responsabilità.</w:t>
      </w:r>
      <w:r>
        <w:rPr>
          <w:rFonts w:ascii="Barlow Semi Condensed" w:cs="Barlow Semi Condensed" w:eastAsia="Barlow Semi Condensed" w:hAnsi="Barlow Semi Condensed"/>
          <w:sz w:val="24"/>
          <w:szCs w:val="24"/>
        </w:rPr>
        <w:t xml:space="preserve"> Lo dichiaro per primo perché è l'oggetto stesso del lavoro e non una circostanza accessoria della sua produzione: un'opera che 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oltre </w:t>
      </w:r>
      <w:r>
        <w:rPr>
          <w:rFonts w:ascii="Barlow Semi Condensed" w:cs="Barlow Semi Condensed" w:eastAsia="Barlow Semi Condensed" w:hAnsi="Barlow Semi Condensed"/>
          <w:b/>
          <w:bCs/>
          <w:sz w:val="24"/>
          <w:szCs w:val="24"/>
        </w:rPr>
        <w:t xml:space="preserve">2.500 pagine</w:t>
      </w:r>
      <w:r>
        <w:rPr>
          <w:rFonts w:ascii="Barlow Semi Condensed" w:cs="Barlow Semi Condensed" w:eastAsia="Barlow Semi Condensed" w:hAnsi="Barlow Semi Condensed"/>
          <w:sz w:val="24"/>
          <w:szCs w:val="24"/>
        </w:rPr>
        <w:t xml:space="preserve">, in doppia edizione PDF e DOCX. Comprende il Portale, quattordici Libri e 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 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 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 </w:t>
      </w:r>
      <w:r>
        <w:rPr>
          <w:rFonts w:ascii="Barlow Semi Condensed" w:cs="Barlow Semi Condensed" w:eastAsia="Barlow Semi Condensed" w:hAnsi="Barlow Semi Condensed"/>
          <w:b/>
          <w:bCs/>
          <w:sz w:val="24"/>
          <w:szCs w:val="24"/>
        </w:rPr>
        <w:t xml:space="preserve">736 riferimenti bibliografici distinti</w:t>
      </w:r>
      <w:r>
        <w:rPr>
          <w:rFonts w:ascii="Barlow Semi Condensed" w:cs="Barlow Semi Condensed" w:eastAsia="Barlow Semi Condensed" w:hAnsi="Barlow Semi Condensed"/>
          <w:sz w:val="24"/>
          <w:szCs w:val="24"/>
        </w:rPr>
        <w:t xml:space="preserve"> per 1.332 citazioni su 390 domini, numerati in ordine di apparizione, e </w:t>
      </w:r>
      <w:r>
        <w:rPr>
          <w:rFonts w:ascii="Barlow Semi Condensed" w:cs="Barlow Semi Condensed" w:eastAsia="Barlow Semi Condensed" w:hAnsi="Barlow Semi Condensed"/>
          <w:b/>
          <w:bCs/>
          <w:sz w:val="24"/>
          <w:szCs w:val="24"/>
        </w:rPr>
        <w:t xml:space="preserve">247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 copertina come lente e non come sentenza. L'opera resta, nel suo nome proprio, «Una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 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 parti. La convergenza si registra come tale e non si promuove mai a nesso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 definitivo. Gli assolti restano assolti, e le assoluzioni sono riportate per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 accertata di ciò che ci si attendeva — vale quanto un ritrovamento, purché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 l'accertamento, C per la congettura ordinata, F per il fatto pubblico, Stato 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 quarto è un dossier di cui sono autore, anteriore al corpus e conservato per intero anziché riscritto; nella seconda metà congeda dichiaratamente la sospensione del giudizio per ordinare secondo la plausibilità del coinvolgimento. Ne dico i limiti con la stessa precisione con cui ne dico l'esistenza: è graduatoria di plausibilità e non di colpa, ordina </w:t>
      </w:r>
      <w:r>
        <w:rPr>
          <w:rFonts w:ascii="Barlow Semi Condensed" w:cs="Barlow Semi Condensed" w:eastAsia="Barlow Semi Condensed" w:hAnsi="Barlow Semi Condensed"/>
          <w:b/>
          <w:bCs/>
          <w:sz w:val="24"/>
          <w:szCs w:val="24"/>
        </w:rPr>
        <w:t xml:space="preserve">categorie di soggetti e non nomi individuali</w:t>
      </w:r>
      <w:r>
        <w:rPr>
          <w:rFonts w:ascii="Barlow Semi Condensed" w:cs="Barlow Semi Condensed" w:eastAsia="Barlow Semi Condensed" w:hAnsi="Barlow Semi Condensed"/>
          <w:sz w:val="24"/>
          <w:szCs w:val="24"/>
        </w:rPr>
        <w:t xml:space="preserve">, muove dal giudicato e rifiuta di nominare un mandante esterno determinato. Ordinare per plausibilità non è condannare, e 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 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perché qualcuno possa andare in archivio a rispondervi, ciascuna con l'indicazione della sede in cui si cercherebbe. </w:t>
      </w:r>
      <w:r>
        <w:rPr>
          <w:rFonts w:ascii="Barlow Semi Condensed" w:cs="Barlow Semi Condensed" w:eastAsia="Barlow Semi Condensed" w:hAnsi="Barlow Semi Condensed"/>
          <w:b/>
          <w:bCs/>
          <w:sz w:val="24"/>
          <w:szCs w:val="24"/>
        </w:rPr>
        <w:t xml:space="preserve">Non contiene rivelazioni e non aggiunge un fatto.</w:t>
      </w:r>
      <w:r>
        <w:rPr>
          <w:rFonts w:ascii="Barlow Semi Condensed" w:cs="Barlow Semi Condensed" w:eastAsia="Barlow Semi Condensed" w:hAnsi="Barlow Semi Condensed"/>
          <w:sz w:val="24"/>
          <w:szCs w:val="24"/>
        </w:rPr>
        <w:t xml:space="preserve"> Chi cerca una tesi nuova sul 1978 non la 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 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0e823528c4452ef9dafac53ebda8fb86d728739add5616f1ad2eb036bfa22b80</w:t>
      </w:r>
      <w:r>
        <w:rPr>
          <w:rFonts w:ascii="Barlow Semi Condensed" w:cs="Barlow Semi Condensed" w:eastAsia="Barlow Semi Condensed" w:hAnsi="Barlow Semi Condensed"/>
          <w:sz w:val="24"/>
          <w:szCs w:val="24"/>
        </w:rPr>
        <w:t xml:space="preserve"> il volume in PDF  </w:t>
      </w:r>
      <w:r>
        <w:rPr>
          <w:rFonts w:ascii="Barlow Semi Condensed" w:cs="Barlow Semi Condensed" w:eastAsia="Barlow Semi Condensed" w:hAnsi="Barlow Semi Condensed"/>
          <w:i/>
          <w:iCs/>
          <w:sz w:val="24"/>
          <w:szCs w:val="24"/>
        </w:rPr>
        <w:t xml:space="preserve">81ae4dc6986150192d808f60016ca2ea52912983ade435d55aafc0b2a19fbacb</w:t>
      </w:r>
      <w:r>
        <w:rPr>
          <w:rFonts w:ascii="Barlow Semi Condensed" w:cs="Barlow Semi Condensed" w:eastAsia="Barlow Semi Condensed" w:hAnsi="Barlow Semi Condensed"/>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 </w:t>
      </w: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w:t>
      </w:r>
      <w:r>
        <w:rPr>
          <w:rFonts w:ascii="Barlow Semi Condensed" w:cs="Barlow Semi Condensed" w:eastAsia="Barlow Semi Condensed" w:hAnsi="Barlow Semi Condensed"/>
          <w:b/>
          <w:bCs/>
          <w:sz w:val="24"/>
          <w:szCs w:val="24"/>
        </w:rPr>
        <w:t xml:space="preserve">bit per bit</w:t>
      </w:r>
      <w:r>
        <w:rPr>
          <w:rFonts w:ascii="Barlow Semi Condensed" w:cs="Barlow Semi Condensed" w:eastAsia="Barlow Semi Condensed" w:hAnsi="Barlow Semi Condensed"/>
          <w:sz w:val="24"/>
          <w:szCs w:val="24"/>
        </w:rPr>
        <w:t xml:space="preserve"> ciò che è stato depositato. Va detto con precisione che cosa quella stringa non certifica: </w:t>
      </w:r>
      <w:r>
        <w:rPr>
          <w:rFonts w:ascii="Barlow Semi Condensed" w:cs="Barlow Semi Condensed" w:eastAsia="Barlow Semi Condensed" w:hAnsi="Barlow Semi Condensed"/>
          <w:b/>
          <w:bCs/>
          <w:sz w:val="24"/>
          <w:szCs w:val="24"/>
        </w:rPr>
        <w:t xml:space="preserve">l'integrità è una proprietà del contenitore, non del contenuto</w:t>
      </w:r>
      <w:r>
        <w:rPr>
          <w:rFonts w:ascii="Barlow Semi Condensed" w:cs="Barlow Semi Condensed" w:eastAsia="Barlow Semi Condensed" w:hAnsi="Barlow Semi Condensed"/>
          <w:sz w:val="24"/>
          <w:szCs w:val="24"/>
        </w:rPr>
        <w:t xml:space="preserve">. Un documento falso conserva la propria impronta con la stessa fedeltà di uno esatto. Accertare di aver ricevuto integro è meccanico; verificare ciò che il testo afferma è il lavoro che i gradi dichiarati, le sedi 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 ente se ne occupa, e che mi sia detto, nei tempi che riterrete, se abbia interesse per le vostre finalità. Se la risposta è negativa non occorre motivarla. Resto a disposizione per qualunque chiarimento, per l'invio di estratti, e per fornire i materiali di lavorazione — i generatori, i registri di verifica, i manifesti delle impronte — a chi volesse controllare come 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 Oreste Leonardi, Domenico Ricci, Giulio Rivera, Francesco Zizzi, Raffaele 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 [recapito]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oltre 2.500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la prima stesura completa del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 PEC si fermano fra i 30 e i 50 MB per messaggio: verificare il limite del proprio gestore prima dell'invio, e in caso di eccedenza trasmettere il DOCX con il link al deposito pubblico, indicando l'impronta perché il destinatario 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spacing w:after="40"/>
        <w:ind w:left="180"/>
        <w:jc w:val="both"/>
      </w:pPr>
      <w:r>
        <w:rPr>
          <w:rFonts w:ascii="Barlow Semi Condensed" w:cs="Barlow Semi Condensed" w:eastAsia="Barlow Semi Condensed" w:hAnsi="Barlow Semi Condensed"/>
          <w:sz w:val="24"/>
          <w:szCs w:val="24"/>
        </w:rPr>
        <w:t xml:space="preserve">☐ Il deposito Zenodo è stato fatto e il DOI è inserito nel testo</w:t>
      </w:r>
    </w:p>
    <w:p>
      <w:pPr>
        <w:spacing w:after="40"/>
        <w:ind w:left="180"/>
        <w:jc w:val="both"/>
      </w:pPr>
      <w:r>
        <w:rPr>
          <w:rFonts w:ascii="Barlow Semi Condensed" w:cs="Barlow Semi Condensed" w:eastAsia="Barlow Semi Condensed" w:hAnsi="Barlow Semi Condensed"/>
          <w:sz w:val="24"/>
          <w:szCs w:val="24"/>
        </w:rPr>
        <w:t xml:space="preserve">☐ I campi fra parentesi quadre sono stati compilati e le parentesi tolte</w:t>
      </w:r>
    </w:p>
    <w:p>
      <w:pPr>
        <w:spacing w:after="40"/>
        <w:ind w:left="180"/>
        <w:jc w:val="both"/>
      </w:pPr>
      <w:r>
        <w:rPr>
          <w:rFonts w:ascii="Barlow Semi Condensed" w:cs="Barlow Semi Condensed" w:eastAsia="Barlow Semi Condensed" w:hAnsi="Barlow Semi Condensed"/>
          <w:sz w:val="24"/>
          <w:szCs w:val="24"/>
        </w:rPr>
        <w:t xml:space="preserve">☐ Le due impronte nel testo coincidono con quelle dei file effettivamente allegati</w:t>
      </w:r>
    </w:p>
    <w:p>
      <w:pPr>
        <w:spacing w:after="40"/>
        <w:ind w:left="180"/>
        <w:jc w:val="both"/>
      </w:pPr>
      <w:r>
        <w:rPr>
          <w:rFonts w:ascii="Barlow Semi Condensed" w:cs="Barlow Semi Condensed" w:eastAsia="Barlow Semi Condensed" w:hAnsi="Barlow Semi Condensed"/>
          <w:sz w:val="24"/>
          <w:szCs w:val="24"/>
        </w:rPr>
        <w:t xml:space="preserve">☐ L'indirizzo del destinatario è quello verificato, non quello presunto</w:t>
      </w:r>
    </w:p>
    <w:p>
      <w:pPr>
        <w:spacing w:after="40"/>
        <w:ind w:left="180"/>
        <w:jc w:val="both"/>
      </w:pPr>
      <w:r>
        <w:rPr>
          <w:rFonts w:ascii="Barlow Semi Condensed" w:cs="Barlow Semi Condensed" w:eastAsia="Barlow Semi Condensed" w:hAnsi="Barlow Semi Condensed"/>
          <w:sz w:val="24"/>
          <w:szCs w:val="24"/>
        </w:rPr>
        <w:t xml:space="preserve">☐ L'invio è separato per ciascun destinatario, non unico per tutti</w:t>
      </w:r>
    </w:p>
    <w:p>
      <w:pPr>
        <w:spacing w:after="40"/>
        <w:ind w:left="180"/>
        <w:jc w:val="both"/>
      </w:pPr>
      <w:r>
        <w:rPr>
          <w:rFonts w:ascii="Barlow Semi Condensed" w:cs="Barlow Semi Condensed" w:eastAsia="Barlow Semi Condensed" w:hAnsi="Barlow Semi Condensed"/>
          <w:sz w:val="24"/>
          <w:szCs w:val="24"/>
        </w:rPr>
        <w:t xml:space="preserve">☐ Il limite di peso del proprio gestore PEC è stato verificato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Annotazione — Questa PEC unica fu redatta sulle cifre della quarta edizione: 1.897 pagine, 687 riferimenti per 1.042 citazioni su 357 domini, 161 grafici. Sono state sostituite con quelle della sesta. Le vecchie restano scritte qui, perché chi avesse già trasmesso il testo nella redazione anteriore non ha scritto il falso: ha scritto una cosa vera alla propria data. Il conteggio delle pagine è dato in tondo perché questo documento è rilegato nel volume che conta, e la cifra esatta si legge sulla copertina.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2026-08-29T04:59:31.273Z</dcterms:created>
  <dcterms:modified xsi:type="dcterms:W3CDTF">2026-08-29T04:59:31.273Z</dcterms:modified>
</cp:coreProperties>
</file>

<file path=docProps/custom.xml><?xml version="1.0" encoding="utf-8"?>
<Properties xmlns="http://schemas.openxmlformats.org/officeDocument/2006/custom-properties" xmlns:vt="http://schemas.openxmlformats.org/officeDocument/2006/docPropsVTypes"/>
</file>