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80"/>
        <w:jc w:val="center"/>
      </w:pPr>
      <w:r>
        <w:rPr>
          <w:rFonts w:ascii="Calibri" w:hAnsi="Calibri" w:cs="Calibri" w:eastAsia="Calibri"/>
          <w:b/>
          <w:color w:val="2E4272"/>
          <w:spacing w:val="30"/>
          <w:sz w:val="22"/>
        </w:rPr>
        <w:t>STUDIO INTEGRALE PUGLIA</w:t>
      </w:r>
    </w:p>
    <w:p>
      <w:pPr>
        <w:pBdr>
          <w:bottom w:val="single" w:sz="10" w:space="6" w:color="C49A48"/>
        </w:pBdr>
        <w:spacing w:after="780"/>
        <w:jc w:val="center"/>
      </w:pPr>
      <w:r>
        <w:rPr>
          <w:rFonts w:ascii="Cambria" w:hAnsi="Cambria" w:cs="Cambria" w:eastAsia="Cambria"/>
          <w:sz w:val="2"/>
        </w:rPr>
      </w:r>
    </w:p>
    <w:p>
      <w:pPr>
        <w:spacing w:before="0" w:after="0" w:line="960" w:lineRule="exact"/>
        <w:jc w:val="center"/>
      </w:pPr>
      <w:r>
        <w:rPr>
          <w:rFonts w:ascii="Calibri" w:hAnsi="Calibri" w:cs="Calibri" w:eastAsia="Calibri"/>
          <w:b/>
          <w:color w:val="16264B"/>
          <w:spacing w:val="10"/>
          <w:sz w:val="88"/>
        </w:rPr>
        <w:t>PRIMARY CARE</w:t>
      </w:r>
    </w:p>
    <w:p>
      <w:pPr>
        <w:spacing w:before="0" w:after="0" w:line="960" w:lineRule="exact"/>
        <w:jc w:val="center"/>
      </w:pPr>
      <w:r>
        <w:rPr>
          <w:rFonts w:ascii="Calibri" w:hAnsi="Calibri" w:cs="Calibri" w:eastAsia="Calibri"/>
          <w:b/>
          <w:color w:val="16264B"/>
          <w:spacing w:val="10"/>
          <w:sz w:val="88"/>
        </w:rPr>
        <w:t>PSYCHOLOGY</w:t>
      </w:r>
    </w:p>
    <w:p>
      <w:pPr>
        <w:spacing w:before="0" w:after="0" w:line="960" w:lineRule="exact"/>
        <w:jc w:val="center"/>
      </w:pPr>
      <w:r>
        <w:rPr>
          <w:rFonts w:ascii="Calibri" w:hAnsi="Calibri" w:cs="Calibri" w:eastAsia="Calibri"/>
          <w:b/>
          <w:color w:val="16264B"/>
          <w:spacing w:val="10"/>
          <w:sz w:val="88"/>
        </w:rPr>
        <w:t>SERVICE</w:t>
      </w:r>
    </w:p>
    <w:p>
      <w:pPr>
        <w:spacing w:before="0" w:after="0" w:line="960" w:lineRule="exact"/>
        <w:jc w:val="center"/>
      </w:pPr>
      <w:r>
        <w:rPr>
          <w:rFonts w:ascii="Calibri" w:hAnsi="Calibri" w:cs="Calibri" w:eastAsia="Calibri"/>
          <w:b/>
          <w:color w:val="16264B"/>
          <w:spacing w:val="10"/>
          <w:sz w:val="88"/>
        </w:rPr>
        <w:t>IN APULIA</w:t>
      </w:r>
    </w:p>
    <w:p>
      <w:pPr>
        <w:pBdr>
          <w:bottom w:val="single" w:sz="14" w:space="6" w:color="16264B"/>
        </w:pBdr>
        <w:spacing w:before="620" w:after="320"/>
        <w:jc w:val="center"/>
      </w:pPr>
      <w:r>
        <w:rPr>
          <w:rFonts w:ascii="Cambria" w:hAnsi="Cambria" w:cs="Cambria" w:eastAsia="Cambria"/>
          <w:sz w:val="2"/>
        </w:rPr>
      </w:r>
    </w:p>
    <w:p>
      <w:pPr>
        <w:spacing w:after="1600"/>
        <w:jc w:val="center"/>
      </w:pPr>
      <w:r>
        <w:rPr>
          <w:rFonts w:ascii="Cambria" w:hAnsi="Cambria" w:cs="Cambria" w:eastAsia="Cambria"/>
          <w:i/>
          <w:color w:val="1A1A1A"/>
          <w:sz w:val="28"/>
        </w:rPr>
        <w:t>An integrated economic evaluation and implementation design for the Apulia Regional Health Service</w:t>
      </w:r>
    </w:p>
    <w:p>
      <w:pPr>
        <w:spacing w:before="1800" w:after="80"/>
        <w:jc w:val="center"/>
      </w:pPr>
      <w:r>
        <w:rPr>
          <w:rFonts w:ascii="Calibri" w:hAnsi="Calibri" w:cs="Calibri" w:eastAsia="Calibri"/>
          <w:b/>
          <w:color w:val="1A1A1A"/>
          <w:sz w:val="28"/>
        </w:rPr>
        <w:t>Dr Luigi De Michele</w:t>
      </w:r>
    </w:p>
    <w:p>
      <w:pPr>
        <w:spacing w:after="40"/>
        <w:jc w:val="center"/>
      </w:pPr>
      <w:r>
        <w:rPr>
          <w:rFonts w:ascii="Cambria" w:hAnsi="Cambria" w:cs="Cambria" w:eastAsia="Cambria"/>
          <w:color w:val="1A1A1A"/>
          <w:sz w:val="22"/>
        </w:rPr>
        <w:t>Psychologist — Order of Psychologists of Apulia</w:t>
      </w:r>
    </w:p>
    <w:p>
      <w:pPr>
        <w:spacing w:after="40"/>
        <w:jc w:val="center"/>
      </w:pPr>
      <w:r>
        <w:rPr>
          <w:rFonts w:ascii="Cambria" w:hAnsi="Cambria" w:cs="Cambria" w:eastAsia="Cambria"/>
          <w:color w:val="1A1A1A"/>
          <w:sz w:val="22"/>
        </w:rPr>
        <w:t>Studio Integrale Puglia — Capurso (BA), Italy</w:t>
      </w:r>
    </w:p>
    <w:p>
      <w:pPr>
        <w:spacing w:after="40"/>
        <w:jc w:val="center"/>
      </w:pPr>
      <w:r>
        <w:rPr>
          <w:rFonts w:ascii="Cambria" w:hAnsi="Cambria" w:cs="Cambria" w:eastAsia="Cambria"/>
          <w:color w:val="1A1A1A"/>
          <w:sz w:val="22"/>
        </w:rPr>
        <w:t>July 2026</w:t>
      </w:r>
    </w:p>
    <w:p>
      <w:pPr>
        <w:spacing w:before="800" w:after="40"/>
        <w:jc w:val="center"/>
      </w:pPr>
      <w:r>
        <w:rPr>
          <w:rFonts w:ascii="Cambria" w:hAnsi="Cambria" w:cs="Cambria" w:eastAsia="Cambria"/>
          <w:i/>
          <w:color w:val="6B7280"/>
          <w:sz w:val="19"/>
        </w:rPr>
        <w:t>English edition — translated from the Italian original</w:t>
      </w:r>
    </w:p>
    <w:p>
      <w:r>
        <w:br w:type="page"/>
      </w:r>
    </w:p>
    <w:p>
      <w:pPr>
        <w:pStyle w:val="Heading1"/>
      </w:pPr>
      <w:r>
        <w:rPr>
          <w:rFonts w:ascii="Cambria" w:hAnsi="Cambria" w:cs="Cambria" w:eastAsia="Cambria"/>
        </w:rPr>
        <w:t>FOREWORD</w:t>
      </w:r>
    </w:p>
    <w:p>
      <w:r>
        <w:rPr>
          <w:rFonts w:ascii="Cambria" w:hAnsi="Cambria" w:cs="Cambria" w:eastAsia="Cambria"/>
        </w:rPr>
        <w:t xml:space="preserve">This Document — the Integral, Final and Definitive Study on the Apulian reform of the Primary Care Psychologist — brings together and re-elaborates in unified form the entire content of Chapters I to IV of the technical-scientific report supporting the establishment of the </w:t>
      </w:r>
      <w:r>
        <w:rPr>
          <w:rFonts w:ascii="Cambria" w:hAnsi="Cambria" w:cs="Cambria" w:eastAsia="Cambria"/>
          <w:i/>
        </w:rPr>
        <w:t>Primary Care Psychology</w:t>
      </w:r>
      <w:r>
        <w:rPr>
          <w:rFonts w:ascii="Cambria" w:hAnsi="Cambria" w:cs="Cambria" w:eastAsia="Cambria"/>
        </w:rPr>
        <w:t xml:space="preserve"> Service within the Apulian Regional Health Service, whose intellectual author is Dr Luigi De Michele. The scope of the Study is integral: it is not confined to the figure of the Primary Care Psychologist, but embraces, in a cascading pyramid, all the professional figures and all the multidisciplinary aspects directly and indirectly connected to the reform, ordered according to their capacity to generate economic returns and spending-review savings.</w:t>
      </w:r>
    </w:p>
    <w:p>
      <w:r>
        <w:rPr>
          <w:rFonts w:ascii="Cambria" w:hAnsi="Cambria" w:cs="Cambria" w:eastAsia="Cambria"/>
        </w:rPr>
        <w:t>The cascade moves from the apex — the Primary Care Psychologist as the front-line, proximity professional — and descends, by influence and by capacity to generate economic returns, towards the General Practitioner and the primary care paediatrician, the Family and Community Nurse, the Social Worker, the medical specialists in the branches most affected by the psychosomatic component (cardiology, gastroenterology, neurology, rheumatology, pulmonology, gynaecology, urology, endocrinology), the staff of the Departments and Centres of Mental Health, down to the actors of the social security system, the labour market, schools, universities and the regional productive fabric.</w:t>
      </w:r>
    </w:p>
    <w:p>
      <w:r>
        <w:rPr>
          <w:rFonts w:ascii="Cambria" w:hAnsi="Cambria" w:cs="Cambria" w:eastAsia="Cambria"/>
        </w:rPr>
        <w:t>The disciplinary domains touched upon by the Study include, without claiming exhaustiveness, the healthcare, economic, social, labour, social-security, productivity, welfare, prevention, criminological, bureaucratic, cultural, educational, anthropological, pedagogical-educational, academic, industrial, trade-union and financial domains. The ultimate objective is to predict, in a falsifiable and prudential manner, the multidimensional and multifactorial effects of the reform on people's quality of life, on regional budgets, on bureaucracy, and on regional health systems.</w:t>
      </w:r>
    </w:p>
    <w:p>
      <w:r>
        <w:rPr>
          <w:rFonts w:ascii="Cambria" w:hAnsi="Cambria" w:cs="Cambria" w:eastAsia="Cambria"/>
        </w:rPr>
        <w:t>Artificial Intelligence does not constitute the central subject of the Study, but rather one of the many enabling levers that make the figure of the Primary Care Psychologist more effective; training activities, including those relating to AI, are considered both individually and in combination, under human supervision and within the framework of European regulatory governance.</w:t>
      </w:r>
    </w:p>
    <w:p>
      <w:pPr>
        <w:pStyle w:val="Heading1"/>
      </w:pPr>
      <w:r>
        <w:rPr>
          <w:rFonts w:ascii="Cambria" w:hAnsi="Cambria" w:cs="Cambria" w:eastAsia="Cambria"/>
        </w:rPr>
        <w:t>INTRODUCTION</w:t>
      </w:r>
    </w:p>
    <w:p>
      <w:r>
        <w:rPr>
          <w:rFonts w:ascii="Cambria" w:hAnsi="Cambria" w:cs="Cambria" w:eastAsia="Cambria"/>
        </w:rPr>
        <w:t xml:space="preserve">The establishment of the </w:t>
      </w:r>
      <w:r>
        <w:rPr>
          <w:rFonts w:ascii="Cambria" w:hAnsi="Cambria" w:cs="Cambria" w:eastAsia="Cambria"/>
          <w:i/>
        </w:rPr>
        <w:t>Primary Care Psychology</w:t>
      </w:r>
      <w:r>
        <w:rPr>
          <w:rFonts w:ascii="Cambria" w:hAnsi="Cambria" w:cs="Cambria" w:eastAsia="Cambria"/>
        </w:rPr>
        <w:t xml:space="preserve"> Service represents a regulatory intervention of systemic scope that simultaneously affects the architecture of primary care, the balance of regional health budgets, the organisation of professional work, and the population's quality of life. The Study proceeds from the recognition that health, in its constitutional and international meaning, inseparably includes the psychological dimension, and that the integration of psychology into primary care does not constitute a discretionary policy option but an evidence-based imperative.</w:t>
      </w:r>
    </w:p>
    <w:p>
      <w:r>
        <w:rPr>
          <w:rFonts w:ascii="Cambria" w:hAnsi="Cambria" w:cs="Cambria" w:eastAsia="Cambria"/>
        </w:rPr>
        <w:t>The structure of this Document mirrors, for Chapters I to IV, the articulation of the original report: Chapter I reconstructs the legal-institutional foundation and the scientific rationale for establishing the Service; Chapter II examines in depth the context framework — needs, critical issues and the rationale of the reform — through demographic, epidemiological and socioeconomic analysis; Chapter III describes the organisational model and staffing; Chapter IV quantifies the direct costs of implementation and operation. Chapters V–VII, concerning direct savings, indirect savings and the overall economic balance, are addressed in full in the chapters that follow.</w:t>
      </w:r>
    </w:p>
    <w:p>
      <w:r>
        <w:rPr>
          <w:rFonts w:ascii="Cambria" w:hAnsi="Cambria" w:cs="Cambria" w:eastAsia="Cambria"/>
        </w:rPr>
        <w:t>Each chapter is accompanied by synoptic tables and by a full apparatus of footnotes. Economic estimates are expressed in falsifiable ranges, with rebuttal thresholds and prudential intervals; cost-benefit ratios are anchored exclusively in peer-reviewed literature and never aggregate the fiscal, health and social dimensions into a single net figure, as these remain methodologically distinct.</w:t>
      </w:r>
    </w:p>
    <w:p>
      <w:pPr>
        <w:pStyle w:val="Heading1"/>
      </w:pPr>
      <w:r>
        <w:rPr>
          <w:rFonts w:ascii="Cambria" w:hAnsi="Cambria" w:cs="Cambria" w:eastAsia="Cambria"/>
        </w:rPr>
        <w:t>CHAPTER I — LEGAL-INSTITUTIONAL FOUNDATION AND SCIENTIFIC RATIONALE</w:t>
      </w:r>
    </w:p>
    <w:p>
      <w:pPr>
        <w:pStyle w:val="Heading2"/>
      </w:pPr>
      <w:r>
        <w:rPr>
          <w:rFonts w:ascii="Cambria" w:hAnsi="Cambria" w:cs="Cambria" w:eastAsia="Cambria"/>
        </w:rPr>
        <w:t>Chapter foreword</w:t>
      </w:r>
    </w:p>
    <w:p>
      <w:r>
        <w:rPr>
          <w:rFonts w:ascii="Cambria" w:hAnsi="Cambria" w:cs="Cambria" w:eastAsia="Cambria"/>
        </w:rPr>
        <w:t xml:space="preserve">Chapter I establishes the constitutional, regulatory and scientific foundations on which the entire architecture of the reform rests. It demonstrates how the establishment of the </w:t>
      </w:r>
      <w:r>
        <w:rPr>
          <w:rFonts w:ascii="Cambria" w:hAnsi="Cambria" w:cs="Cambria" w:eastAsia="Cambria"/>
          <w:i/>
        </w:rPr>
        <w:t>Primary Care Psychology</w:t>
      </w:r>
      <w:r>
        <w:rPr>
          <w:rFonts w:ascii="Cambria" w:hAnsi="Cambria" w:cs="Cambria" w:eastAsia="Cambria"/>
        </w:rPr>
        <w:t xml:space="preserve"> Service follows directly from the constitutional principles protecting health, how it fits within the European and national regulatory framework, and how it is confirmed by a robust and convergent body of international evidence.</w:t>
      </w:r>
    </w:p>
    <w:p>
      <w:pPr>
        <w:pStyle w:val="Heading2"/>
      </w:pPr>
      <w:r>
        <w:rPr>
          <w:rFonts w:ascii="Cambria" w:hAnsi="Cambria" w:cs="Cambria" w:eastAsia="Cambria"/>
        </w:rPr>
        <w:t>1.1. Object of the regulatory intervention and constitutional framework</w:t>
      </w:r>
    </w:p>
    <w:p>
      <w:r>
        <w:rPr>
          <w:rFonts w:ascii="Cambria" w:hAnsi="Cambria" w:cs="Cambria" w:eastAsia="Cambria"/>
        </w:rPr>
        <w:t xml:space="preserve">The establishment of the </w:t>
      </w:r>
      <w:r>
        <w:rPr>
          <w:rFonts w:ascii="Cambria" w:hAnsi="Cambria" w:cs="Cambria" w:eastAsia="Cambria"/>
          <w:i/>
        </w:rPr>
        <w:t>Primary Care Psychology</w:t>
      </w:r>
      <w:r>
        <w:rPr>
          <w:rFonts w:ascii="Cambria" w:hAnsi="Cambria" w:cs="Cambria" w:eastAsia="Cambria"/>
        </w:rPr>
        <w:t xml:space="preserve"> Service within the Apulian Regional Health Service finds its primary foundation in Article 32 of the Constitution, which protects health as a fundamental right of the individual and a collective interest, guaranteeing free care to the indigent</w:t>
      </w:r>
      <w:r>
        <w:rPr>
          <w:rStyle w:val="FootnoteReference"/>
        </w:rPr>
        <w:footnoteReference w:id="1"/>
      </w:r>
      <w:r>
        <w:rPr>
          <w:rFonts w:ascii="Cambria" w:hAnsi="Cambria" w:cs="Cambria" w:eastAsia="Cambria"/>
        </w:rPr>
        <w:t>. The constitutional conception of health, interpreted in the light of the evolving case law of the Constitutional Court, embraces a holistic vision that necessarily includes psychological well-being as an inseparable component of a person's overall health.</w:t>
      </w:r>
    </w:p>
    <w:p>
      <w:r>
        <w:rPr>
          <w:rFonts w:ascii="Cambria" w:hAnsi="Cambria" w:cs="Cambria" w:eastAsia="Cambria"/>
        </w:rPr>
        <w:t>The World Health Organization, since its founding in 1946, has defined health as a state of complete physical, mental and social well-being, transcending any reductionist conception</w:t>
      </w:r>
      <w:r>
        <w:rPr>
          <w:rStyle w:val="FootnoteReference"/>
        </w:rPr>
        <w:footnoteReference w:id="2"/>
      </w:r>
      <w:r>
        <w:rPr>
          <w:rFonts w:ascii="Cambria" w:hAnsi="Cambria" w:cs="Cambria" w:eastAsia="Cambria"/>
        </w:rPr>
        <w:t>. Mental disorders represent the second leading cause of long-term disability and inflict substantial economic losses on a global scale, as confirmed by the Mental Health Atlas 2024. The integration of the psychological component into primary care is therefore not a discretionary option, but an evidence-based imperative for guaranteeing the effectiveness of the constitutional right to health.</w:t>
      </w:r>
    </w:p>
    <w:p>
      <w:r>
        <w:rPr>
          <w:rFonts w:ascii="Cambria" w:hAnsi="Cambria" w:cs="Cambria" w:eastAsia="Cambria"/>
        </w:rPr>
        <w:t>The European regulatory framework — the Charter of Fundamental Rights of the European Union, the European Pillar of Social Rights, and European Commission recommendations — has progressively consolidated the principle that access to psychological care constitutes an essential level of care to be guaranteed universally</w:t>
      </w:r>
      <w:r>
        <w:rPr>
          <w:rStyle w:val="FootnoteReference"/>
        </w:rPr>
        <w:footnoteReference w:id="3"/>
      </w:r>
      <w:r>
        <w:rPr>
          <w:rFonts w:ascii="Cambria" w:hAnsi="Cambria" w:cs="Cambria" w:eastAsia="Cambria"/>
        </w:rPr>
        <w:t>. The European Commission, in its 2024 report on mental health, found that almost one in two young Europeans had not received adequate support and that only half of those with anxiety or depression sought help, highlighting a structural gap that undermines the sustainability of health systems.</w:t>
      </w:r>
    </w:p>
    <w:p>
      <w:pPr>
        <w:pStyle w:val="Heading2"/>
      </w:pPr>
      <w:r>
        <w:rPr>
          <w:rFonts w:ascii="Cambria" w:hAnsi="Cambria" w:cs="Cambria" w:eastAsia="Cambria"/>
        </w:rPr>
        <w:t>1.2. The mental health epidemiological crisis as a structural health emergency</w:t>
      </w:r>
    </w:p>
    <w:p>
      <w:r>
        <w:rPr>
          <w:rFonts w:ascii="Cambria" w:hAnsi="Cambria" w:cs="Cambria" w:eastAsia="Cambria"/>
        </w:rPr>
        <w:t>Epidemiological analysis of the Apulian situation reveals a convergence of demographic, socioeconomic and health-related factors that constitutes what the international literature terms a “perfect storm” for the population's mental health. The Apulia Region, with approximately 3,890,661 residents as recorded on 31 December 2023, shows accelerated ageing: the median age rose from 39.3 years in 2002 to 46.4 in 2024, with an ageing index of 200.8 older persons for every 100 young people, nearly double that of the preceding decade.</w:t>
      </w:r>
    </w:p>
    <w:p>
      <w:r>
        <w:rPr>
          <w:rFonts w:ascii="Cambria" w:hAnsi="Cambria" w:cs="Cambria" w:eastAsia="Cambria"/>
        </w:rPr>
        <w:t>ISTAT projections indicate a contraction to 3,769,000 inhabitants by 2030 (−3.5%) and to 3,229,000 by 2050 (−17.4%). By 2050 the population aged over 65 will account for 37.1% of the total, compared with 24.2% today, with the over-75 population increasing by 43%. Applying validated epidemiological coefficients, it is estimated that between 50,649 and 74,640 older Apulians currently present clinically significant depressive disorders, and between 69,150 and 92,200 present anxiety disorders.</w:t>
      </w:r>
    </w:p>
    <w:p>
      <w:r>
        <w:rPr>
          <w:rFonts w:ascii="Cambria" w:hAnsi="Cambria" w:cs="Cambria" w:eastAsia="Cambria"/>
        </w:rPr>
        <w:t>Tab. 1.1 — Demographic trajectory of the Apulia Region (source: ISTAT)</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2256"/>
        <w:gridCol w:w="2256"/>
        <w:gridCol w:w="2256"/>
        <w:gridCol w:w="2256"/>
      </w:tblGrid>
      <w:tr>
        <w:tc>
          <w:tcPr>
            <w:tcW w:type="dxa" w:w="2256"/>
            <w:shd w:val="clear" w:color="auto" w:fill="16264B"/>
          </w:tcPr>
          <w:p>
            <w:pPr>
              <w:spacing w:after="40" w:before="40"/>
              <w:jc w:val="left"/>
            </w:pPr>
            <w:r>
              <w:rPr>
                <w:rFonts w:ascii="Cambria" w:hAnsi="Cambria" w:cs="Cambria" w:eastAsia="Cambria"/>
                <w:b/>
                <w:color w:val="FFFFFF"/>
                <w:sz w:val="19"/>
              </w:rPr>
              <w:t>Indicator</w:t>
            </w:r>
          </w:p>
        </w:tc>
        <w:tc>
          <w:tcPr>
            <w:tcW w:type="dxa" w:w="2256"/>
            <w:shd w:val="clear" w:color="auto" w:fill="16264B"/>
          </w:tcPr>
          <w:p>
            <w:pPr>
              <w:spacing w:after="40" w:before="40"/>
              <w:jc w:val="left"/>
            </w:pPr>
            <w:r>
              <w:rPr>
                <w:rFonts w:ascii="Cambria" w:hAnsi="Cambria" w:cs="Cambria" w:eastAsia="Cambria"/>
                <w:b/>
                <w:color w:val="FFFFFF"/>
                <w:sz w:val="19"/>
              </w:rPr>
              <w:t>2023</w:t>
            </w:r>
          </w:p>
        </w:tc>
        <w:tc>
          <w:tcPr>
            <w:tcW w:type="dxa" w:w="2256"/>
            <w:shd w:val="clear" w:color="auto" w:fill="16264B"/>
          </w:tcPr>
          <w:p>
            <w:pPr>
              <w:spacing w:after="40" w:before="40"/>
              <w:jc w:val="left"/>
            </w:pPr>
            <w:r>
              <w:rPr>
                <w:rFonts w:ascii="Cambria" w:hAnsi="Cambria" w:cs="Cambria" w:eastAsia="Cambria"/>
                <w:b/>
                <w:color w:val="FFFFFF"/>
                <w:sz w:val="19"/>
              </w:rPr>
              <w:t>2030 (proj.)</w:t>
            </w:r>
          </w:p>
        </w:tc>
        <w:tc>
          <w:tcPr>
            <w:tcW w:type="dxa" w:w="2256"/>
            <w:shd w:val="clear" w:color="auto" w:fill="16264B"/>
          </w:tcPr>
          <w:p>
            <w:pPr>
              <w:spacing w:after="40" w:before="40"/>
              <w:jc w:val="left"/>
            </w:pPr>
            <w:r>
              <w:rPr>
                <w:rFonts w:ascii="Cambria" w:hAnsi="Cambria" w:cs="Cambria" w:eastAsia="Cambria"/>
                <w:b/>
                <w:color w:val="FFFFFF"/>
                <w:sz w:val="19"/>
              </w:rPr>
              <w:t>2050 (proj.)</w:t>
            </w:r>
          </w:p>
        </w:tc>
      </w:tr>
      <w:tr>
        <w:tc>
          <w:tcPr>
            <w:tcW w:type="dxa" w:w="2256"/>
          </w:tcPr>
          <w:p>
            <w:pPr>
              <w:spacing w:after="40" w:before="40"/>
              <w:jc w:val="left"/>
            </w:pPr>
            <w:r>
              <w:rPr>
                <w:rFonts w:ascii="Cambria" w:hAnsi="Cambria" w:cs="Cambria" w:eastAsia="Cambria"/>
                <w:sz w:val="19"/>
              </w:rPr>
              <w:t>Resident population</w:t>
            </w:r>
          </w:p>
        </w:tc>
        <w:tc>
          <w:tcPr>
            <w:tcW w:type="dxa" w:w="2256"/>
          </w:tcPr>
          <w:p>
            <w:pPr>
              <w:spacing w:after="40" w:before="40"/>
              <w:jc w:val="left"/>
            </w:pPr>
            <w:r>
              <w:rPr>
                <w:rFonts w:ascii="Cambria" w:hAnsi="Cambria" w:cs="Cambria" w:eastAsia="Cambria"/>
                <w:sz w:val="19"/>
              </w:rPr>
              <w:t>3,890,661</w:t>
            </w:r>
          </w:p>
        </w:tc>
        <w:tc>
          <w:tcPr>
            <w:tcW w:type="dxa" w:w="2256"/>
          </w:tcPr>
          <w:p>
            <w:pPr>
              <w:spacing w:after="40" w:before="40"/>
              <w:jc w:val="left"/>
            </w:pPr>
            <w:r>
              <w:rPr>
                <w:rFonts w:ascii="Cambria" w:hAnsi="Cambria" w:cs="Cambria" w:eastAsia="Cambria"/>
                <w:sz w:val="19"/>
              </w:rPr>
              <w:t>3,769,000</w:t>
            </w:r>
          </w:p>
        </w:tc>
        <w:tc>
          <w:tcPr>
            <w:tcW w:type="dxa" w:w="2256"/>
          </w:tcPr>
          <w:p>
            <w:pPr>
              <w:spacing w:after="40" w:before="40"/>
              <w:jc w:val="left"/>
            </w:pPr>
            <w:r>
              <w:rPr>
                <w:rFonts w:ascii="Cambria" w:hAnsi="Cambria" w:cs="Cambria" w:eastAsia="Cambria"/>
                <w:sz w:val="19"/>
              </w:rPr>
              <w:t>3,229,000</w:t>
            </w:r>
          </w:p>
        </w:tc>
      </w:tr>
      <w:tr>
        <w:tc>
          <w:tcPr>
            <w:tcW w:type="dxa" w:w="2256"/>
          </w:tcPr>
          <w:p>
            <w:pPr>
              <w:spacing w:after="40" w:before="40"/>
              <w:jc w:val="left"/>
            </w:pPr>
            <w:r>
              <w:rPr>
                <w:rFonts w:ascii="Cambria" w:hAnsi="Cambria" w:cs="Cambria" w:eastAsia="Cambria"/>
                <w:sz w:val="19"/>
              </w:rPr>
              <w:t>Median age (years)</w:t>
            </w:r>
          </w:p>
        </w:tc>
        <w:tc>
          <w:tcPr>
            <w:tcW w:type="dxa" w:w="2256"/>
          </w:tcPr>
          <w:p>
            <w:pPr>
              <w:spacing w:after="40" w:before="40"/>
              <w:jc w:val="left"/>
            </w:pPr>
            <w:r>
              <w:rPr>
                <w:rFonts w:ascii="Cambria" w:hAnsi="Cambria" w:cs="Cambria" w:eastAsia="Cambria"/>
                <w:sz w:val="19"/>
              </w:rPr>
              <w:t>46.4</w:t>
            </w:r>
          </w:p>
        </w:tc>
        <w:tc>
          <w:tcPr>
            <w:tcW w:type="dxa" w:w="2256"/>
          </w:tcPr>
          <w:p>
            <w:pPr>
              <w:spacing w:after="40" w:before="40"/>
              <w:jc w:val="left"/>
            </w:pPr>
            <w:r>
              <w:rPr>
                <w:rFonts w:ascii="Cambria" w:hAnsi="Cambria" w:cs="Cambria" w:eastAsia="Cambria"/>
                <w:sz w:val="19"/>
              </w:rPr>
              <w:t>≈47.5</w:t>
            </w:r>
          </w:p>
        </w:tc>
        <w:tc>
          <w:tcPr>
            <w:tcW w:type="dxa" w:w="2256"/>
          </w:tcPr>
          <w:p>
            <w:pPr>
              <w:spacing w:after="40" w:before="40"/>
              <w:jc w:val="left"/>
            </w:pPr>
            <w:r>
              <w:rPr>
                <w:rFonts w:ascii="Cambria" w:hAnsi="Cambria" w:cs="Cambria" w:eastAsia="Cambria"/>
                <w:sz w:val="19"/>
              </w:rPr>
              <w:t>≈50</w:t>
            </w:r>
          </w:p>
        </w:tc>
      </w:tr>
      <w:tr>
        <w:tc>
          <w:tcPr>
            <w:tcW w:type="dxa" w:w="2256"/>
          </w:tcPr>
          <w:p>
            <w:pPr>
              <w:spacing w:after="40" w:before="40"/>
              <w:jc w:val="left"/>
            </w:pPr>
            <w:r>
              <w:rPr>
                <w:rFonts w:ascii="Cambria" w:hAnsi="Cambria" w:cs="Cambria" w:eastAsia="Cambria"/>
                <w:sz w:val="19"/>
              </w:rPr>
              <w:t>Share aged over 65</w:t>
            </w:r>
          </w:p>
        </w:tc>
        <w:tc>
          <w:tcPr>
            <w:tcW w:type="dxa" w:w="2256"/>
          </w:tcPr>
          <w:p>
            <w:pPr>
              <w:spacing w:after="40" w:before="40"/>
              <w:jc w:val="left"/>
            </w:pPr>
            <w:r>
              <w:rPr>
                <w:rFonts w:ascii="Cambria" w:hAnsi="Cambria" w:cs="Cambria" w:eastAsia="Cambria"/>
                <w:sz w:val="19"/>
              </w:rPr>
              <w:t>24.2%</w:t>
            </w:r>
          </w:p>
        </w:tc>
        <w:tc>
          <w:tcPr>
            <w:tcW w:type="dxa" w:w="2256"/>
          </w:tcPr>
          <w:p>
            <w:pPr>
              <w:spacing w:after="40" w:before="40"/>
              <w:jc w:val="left"/>
            </w:pPr>
            <w:r>
              <w:rPr>
                <w:rFonts w:ascii="Cambria" w:hAnsi="Cambria" w:cs="Cambria" w:eastAsia="Cambria"/>
                <w:sz w:val="19"/>
              </w:rPr>
              <w:t>≈28%</w:t>
            </w:r>
          </w:p>
        </w:tc>
        <w:tc>
          <w:tcPr>
            <w:tcW w:type="dxa" w:w="2256"/>
          </w:tcPr>
          <w:p>
            <w:pPr>
              <w:spacing w:after="40" w:before="40"/>
              <w:jc w:val="left"/>
            </w:pPr>
            <w:r>
              <w:rPr>
                <w:rFonts w:ascii="Cambria" w:hAnsi="Cambria" w:cs="Cambria" w:eastAsia="Cambria"/>
                <w:sz w:val="19"/>
              </w:rPr>
              <w:t>37.1%</w:t>
            </w:r>
          </w:p>
        </w:tc>
      </w:tr>
      <w:tr>
        <w:tc>
          <w:tcPr>
            <w:tcW w:type="dxa" w:w="2256"/>
          </w:tcPr>
          <w:p>
            <w:pPr>
              <w:spacing w:after="40" w:before="40"/>
              <w:jc w:val="left"/>
            </w:pPr>
            <w:r>
              <w:rPr>
                <w:rFonts w:ascii="Cambria" w:hAnsi="Cambria" w:cs="Cambria" w:eastAsia="Cambria"/>
                <w:sz w:val="19"/>
              </w:rPr>
              <w:t>Aged over 75 (absolute)</w:t>
            </w:r>
          </w:p>
        </w:tc>
        <w:tc>
          <w:tcPr>
            <w:tcW w:type="dxa" w:w="2256"/>
          </w:tcPr>
          <w:p>
            <w:pPr>
              <w:spacing w:after="40" w:before="40"/>
              <w:jc w:val="left"/>
            </w:pPr>
            <w:r>
              <w:rPr>
                <w:rFonts w:ascii="Cambria" w:hAnsi="Cambria" w:cs="Cambria" w:eastAsia="Cambria"/>
                <w:sz w:val="19"/>
              </w:rPr>
              <w:t>461,000</w:t>
            </w:r>
          </w:p>
        </w:tc>
        <w:tc>
          <w:tcPr>
            <w:tcW w:type="dxa" w:w="2256"/>
          </w:tcPr>
          <w:p>
            <w:pPr>
              <w:spacing w:after="40" w:before="40"/>
              <w:jc w:val="left"/>
            </w:pPr>
            <w:r>
              <w:rPr>
                <w:rFonts w:ascii="Cambria" w:hAnsi="Cambria" w:cs="Cambria" w:eastAsia="Cambria"/>
                <w:sz w:val="19"/>
              </w:rPr>
              <w:t>≈540,000</w:t>
            </w:r>
          </w:p>
        </w:tc>
        <w:tc>
          <w:tcPr>
            <w:tcW w:type="dxa" w:w="2256"/>
          </w:tcPr>
          <w:p>
            <w:pPr>
              <w:spacing w:after="40" w:before="40"/>
              <w:jc w:val="left"/>
            </w:pPr>
            <w:r>
              <w:rPr>
                <w:rFonts w:ascii="Cambria" w:hAnsi="Cambria" w:cs="Cambria" w:eastAsia="Cambria"/>
                <w:sz w:val="19"/>
              </w:rPr>
              <w:t>658,000</w:t>
            </w:r>
          </w:p>
        </w:tc>
      </w:tr>
    </w:tbl>
    <w:p/>
    <w:p>
      <w:pPr>
        <w:pStyle w:val="Heading2"/>
      </w:pPr>
      <w:r>
        <w:rPr>
          <w:rFonts w:ascii="Cambria" w:hAnsi="Cambria" w:cs="Cambria" w:eastAsia="Cambria"/>
        </w:rPr>
        <w:t>1.3. Socioeconomic determinants and amplification of psychosocial risk</w:t>
      </w:r>
    </w:p>
    <w:p>
      <w:r>
        <w:rPr>
          <w:rFonts w:ascii="Cambria" w:hAnsi="Cambria" w:cs="Cambria" w:eastAsia="Cambria"/>
        </w:rPr>
        <w:t>The Apulian socioeconomic context places the region among the European areas of greatest psychosocial vulnerability. With 37.7% of the population at risk of poverty or social exclusion — the highest figure in Italy after Calabria — Apulia displays a structural fragility that the literature identifies as a primary determinant of mental health</w:t>
      </w:r>
      <w:r>
        <w:rPr>
          <w:rStyle w:val="FootnoteReference"/>
        </w:rPr>
        <w:footnoteReference w:id="4"/>
      </w:r>
      <w:r>
        <w:rPr>
          <w:rFonts w:ascii="Cambria" w:hAnsi="Cambria" w:cs="Cambria" w:eastAsia="Cambria"/>
        </w:rPr>
        <w:t>. Longitudinal studies document that the relative risk of developing common mental disorders increases 2.3-fold among populations facing severe socioeconomic deprivation, with a dose-response gradient.</w:t>
      </w:r>
    </w:p>
    <w:p>
      <w:r>
        <w:rPr>
          <w:rFonts w:ascii="Cambria" w:hAnsi="Cambria" w:cs="Cambria" w:eastAsia="Cambria"/>
        </w:rPr>
        <w:t>Apulia's youth unemployment rate, standing at 38.4% in the 15-24 age group, affects more than 100,000 young people, generating a scarring effect — a psychological scar that persists even after entry into employment, with a 40% increased risk of depressive and anxiety disorders compared with peers in stable employment. NEET status, which affects 27.3% of young people aged 15 to 29, represents a particularly severe risk factor, with mental disorder incidence rates of 35% at five years.</w:t>
      </w:r>
    </w:p>
    <w:p>
      <w:pPr>
        <w:pStyle w:val="Heading2"/>
      </w:pPr>
      <w:r>
        <w:rPr>
          <w:rFonts w:ascii="Cambria" w:hAnsi="Cambria" w:cs="Cambria" w:eastAsia="Cambria"/>
        </w:rPr>
        <w:t>1.4. The supply paradox: structural undersizing of services</w:t>
      </w:r>
    </w:p>
    <w:p>
      <w:r>
        <w:rPr>
          <w:rFonts w:ascii="Cambria" w:hAnsi="Cambria" w:cs="Cambria" w:eastAsia="Cambria"/>
        </w:rPr>
        <w:t>Apulia allocates only 3.3% of regional health expenditure to mental health, a percentage below the minimum standard of 5% recommended by the WHO and far from the 10-12% invested by northern European systems</w:t>
      </w:r>
      <w:r>
        <w:rPr>
          <w:rStyle w:val="FootnoteReference"/>
        </w:rPr>
        <w:footnoteReference w:id="5"/>
      </w:r>
      <w:r>
        <w:rPr>
          <w:rFonts w:ascii="Cambria" w:hAnsi="Cambria" w:cs="Cambria" w:eastAsia="Cambria"/>
        </w:rPr>
        <w:t>. With only 170 psychologists working in the Departments of Mental Health for nearly 4 million inhabitants, Apulia records a ratio of 4.4 psychologists per 100,000 inhabitants, dramatically below European standards (18 per 100,000 as optimal, 10 as the minimum acceptable).</w:t>
      </w:r>
    </w:p>
    <w:p>
      <w:r>
        <w:rPr>
          <w:rFonts w:ascii="Cambria" w:hAnsi="Cambria" w:cs="Cambria" w:eastAsia="Cambria"/>
        </w:rPr>
        <w:t>This shortfall means that every psychologist in the public system would theoretically have to be responsible for more than 22,000 citizens, a disproportion that makes the universal access enshrined in the essential levels of care materially impossible. 43% of Apulian municipalities have no mental health facility whatsoever within their territory, forcing citizens to travel an average of more than 30 kilometres.</w:t>
      </w:r>
    </w:p>
    <w:p>
      <w:pPr>
        <w:pStyle w:val="Heading2"/>
      </w:pPr>
      <w:r>
        <w:rPr>
          <w:rFonts w:ascii="Cambria" w:hAnsi="Cambria" w:cs="Cambria" w:eastAsia="Cambria"/>
        </w:rPr>
        <w:t>1.5. International evidence on the effectiveness of integration</w:t>
      </w:r>
    </w:p>
    <w:p>
      <w:r>
        <w:rPr>
          <w:rFonts w:ascii="Cambria" w:hAnsi="Cambria" w:cs="Cambria" w:eastAsia="Cambria"/>
        </w:rPr>
        <w:t xml:space="preserve">A meta-analysis in PLOS ONE, which analysed 74 randomised controlled trials of the </w:t>
      </w:r>
      <w:r>
        <w:rPr>
          <w:rFonts w:ascii="Cambria" w:hAnsi="Cambria" w:cs="Cambria" w:eastAsia="Cambria"/>
          <w:i/>
        </w:rPr>
        <w:t>collaborative care</w:t>
      </w:r>
      <w:r>
        <w:rPr>
          <w:rFonts w:ascii="Cambria" w:hAnsi="Cambria" w:cs="Cambria" w:eastAsia="Cambria"/>
        </w:rPr>
        <w:t xml:space="preserve"> model, demonstrated that the integration of psychological interventions produces significant improvements in depressive symptoms (beta coefficient −0.11; 95% CI −0.20 to −0.01; p=0.03)</w:t>
      </w:r>
      <w:r>
        <w:rPr>
          <w:rStyle w:val="FootnoteReference"/>
        </w:rPr>
        <w:footnoteReference w:id="6"/>
      </w:r>
      <w:r>
        <w:rPr>
          <w:rFonts w:ascii="Cambria" w:hAnsi="Cambria" w:cs="Cambria" w:eastAsia="Cambria"/>
        </w:rPr>
        <w:t xml:space="preserve">. The British programme Improving Access to Psychological Therapies (IAPT), now NHS Talking Therapies, treated more than 1.3 million people in 2023-2024, with </w:t>
      </w:r>
      <w:r>
        <w:rPr>
          <w:rFonts w:ascii="Cambria" w:hAnsi="Cambria" w:cs="Cambria" w:eastAsia="Cambria"/>
          <w:i/>
        </w:rPr>
        <w:t>recovery rate</w:t>
      </w:r>
      <w:r>
        <w:rPr>
          <w:rFonts w:ascii="Cambria" w:hAnsi="Cambria" w:cs="Cambria" w:eastAsia="Cambria"/>
        </w:rPr>
        <w:t>s of 51%.</w:t>
      </w:r>
    </w:p>
    <w:p>
      <w:r>
        <w:rPr>
          <w:rFonts w:ascii="Cambria" w:hAnsi="Cambria" w:cs="Cambria" w:eastAsia="Cambria"/>
        </w:rPr>
        <w:t>The programme's economic analysis documented a cost-effectiveness ratio of £16,857 per QALY gained, well below the £30,000 threshold considered cost-effective by NICE</w:t>
      </w:r>
      <w:r>
        <w:rPr>
          <w:rStyle w:val="FootnoteReference"/>
        </w:rPr>
        <w:footnoteReference w:id="7"/>
      </w:r>
      <w:r>
        <w:rPr>
          <w:rFonts w:ascii="Cambria" w:hAnsi="Cambria" w:cs="Cambria" w:eastAsia="Cambria"/>
        </w:rPr>
        <w:t>. The Dutch POH-GGZ model enabled more than 700,000 citizens in 2023 to access psychologists integrated within general practices, with reductions of 23% in benzodiazepine prescriptions and 31% in inappropriate referrals to specialist services.</w:t>
      </w:r>
    </w:p>
    <w:p>
      <w:r>
        <w:rPr>
          <w:rFonts w:ascii="Cambria" w:hAnsi="Cambria" w:cs="Cambria" w:eastAsia="Cambria"/>
        </w:rPr>
        <w:t>Tab. 1.2 — International models of psychology integration in primary care</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2256"/>
        <w:gridCol w:w="2256"/>
        <w:gridCol w:w="2256"/>
        <w:gridCol w:w="2256"/>
      </w:tblGrid>
      <w:tr>
        <w:tc>
          <w:tcPr>
            <w:tcW w:type="dxa" w:w="2256"/>
            <w:shd w:val="clear" w:color="auto" w:fill="16264B"/>
          </w:tcPr>
          <w:p>
            <w:pPr>
              <w:spacing w:after="40" w:before="40"/>
              <w:jc w:val="left"/>
            </w:pPr>
            <w:r>
              <w:rPr>
                <w:rFonts w:ascii="Cambria" w:hAnsi="Cambria" w:cs="Cambria" w:eastAsia="Cambria"/>
                <w:b/>
                <w:color w:val="FFFFFF"/>
                <w:sz w:val="19"/>
              </w:rPr>
              <w:t>Model</w:t>
            </w:r>
          </w:p>
        </w:tc>
        <w:tc>
          <w:tcPr>
            <w:tcW w:type="dxa" w:w="2256"/>
            <w:shd w:val="clear" w:color="auto" w:fill="16264B"/>
          </w:tcPr>
          <w:p>
            <w:pPr>
              <w:spacing w:after="40" w:before="40"/>
              <w:jc w:val="left"/>
            </w:pPr>
            <w:r>
              <w:rPr>
                <w:rFonts w:ascii="Cambria" w:hAnsi="Cambria" w:cs="Cambria" w:eastAsia="Cambria"/>
                <w:b/>
                <w:color w:val="FFFFFF"/>
                <w:sz w:val="19"/>
              </w:rPr>
              <w:t>Country</w:t>
            </w:r>
          </w:p>
        </w:tc>
        <w:tc>
          <w:tcPr>
            <w:tcW w:type="dxa" w:w="2256"/>
            <w:shd w:val="clear" w:color="auto" w:fill="16264B"/>
          </w:tcPr>
          <w:p>
            <w:pPr>
              <w:spacing w:after="40" w:before="40"/>
              <w:jc w:val="left"/>
            </w:pPr>
            <w:r>
              <w:rPr>
                <w:rFonts w:ascii="Cambria" w:hAnsi="Cambria" w:cs="Cambria" w:eastAsia="Cambria"/>
                <w:b/>
                <w:color w:val="FFFFFF"/>
                <w:sz w:val="19"/>
              </w:rPr>
              <w:t>Coverage / activity</w:t>
            </w:r>
          </w:p>
        </w:tc>
        <w:tc>
          <w:tcPr>
            <w:tcW w:type="dxa" w:w="2256"/>
            <w:shd w:val="clear" w:color="auto" w:fill="16264B"/>
          </w:tcPr>
          <w:p>
            <w:pPr>
              <w:spacing w:after="40" w:before="40"/>
              <w:jc w:val="left"/>
            </w:pPr>
            <w:r>
              <w:rPr>
                <w:rFonts w:ascii="Cambria" w:hAnsi="Cambria" w:cs="Cambria" w:eastAsia="Cambria"/>
                <w:b/>
                <w:color w:val="FFFFFF"/>
                <w:sz w:val="19"/>
              </w:rPr>
              <w:t>Key outcomes</w:t>
            </w:r>
          </w:p>
        </w:tc>
      </w:tr>
      <w:tr>
        <w:tc>
          <w:tcPr>
            <w:tcW w:type="dxa" w:w="2256"/>
          </w:tcPr>
          <w:p>
            <w:pPr>
              <w:spacing w:after="40" w:before="40"/>
              <w:jc w:val="left"/>
            </w:pPr>
            <w:r>
              <w:rPr>
                <w:rFonts w:ascii="Cambria" w:hAnsi="Cambria" w:cs="Cambria" w:eastAsia="Cambria"/>
                <w:sz w:val="19"/>
              </w:rPr>
              <w:t>IAPT / NHS Talking Therapies</w:t>
            </w:r>
          </w:p>
        </w:tc>
        <w:tc>
          <w:tcPr>
            <w:tcW w:type="dxa" w:w="2256"/>
          </w:tcPr>
          <w:p>
            <w:pPr>
              <w:spacing w:after="40" w:before="40"/>
              <w:jc w:val="left"/>
            </w:pPr>
            <w:r>
              <w:rPr>
                <w:rFonts w:ascii="Cambria" w:hAnsi="Cambria" w:cs="Cambria" w:eastAsia="Cambria"/>
                <w:sz w:val="19"/>
              </w:rPr>
              <w:t>United Kingdom</w:t>
            </w:r>
          </w:p>
        </w:tc>
        <w:tc>
          <w:tcPr>
            <w:tcW w:type="dxa" w:w="2256"/>
          </w:tcPr>
          <w:p>
            <w:pPr>
              <w:spacing w:after="40" w:before="40"/>
              <w:jc w:val="left"/>
            </w:pPr>
            <w:r>
              <w:rPr>
                <w:rFonts w:ascii="Cambria" w:hAnsi="Cambria" w:cs="Cambria" w:eastAsia="Cambria"/>
                <w:sz w:val="19"/>
              </w:rPr>
              <w:t>&gt;1.3 mln people/year</w:t>
            </w:r>
          </w:p>
        </w:tc>
        <w:tc>
          <w:tcPr>
            <w:tcW w:type="dxa" w:w="2256"/>
          </w:tcPr>
          <w:p>
            <w:pPr>
              <w:spacing w:after="40" w:before="40"/>
              <w:jc w:val="left"/>
            </w:pPr>
            <w:r>
              <w:rPr>
                <w:rFonts w:ascii="Cambria" w:hAnsi="Cambria" w:cs="Cambria" w:eastAsia="Cambria"/>
                <w:sz w:val="19"/>
              </w:rPr>
              <w:t>Recovery 51%; £16,857/QALY</w:t>
            </w:r>
          </w:p>
        </w:tc>
      </w:tr>
      <w:tr>
        <w:tc>
          <w:tcPr>
            <w:tcW w:type="dxa" w:w="2256"/>
          </w:tcPr>
          <w:p>
            <w:pPr>
              <w:spacing w:after="40" w:before="40"/>
              <w:jc w:val="left"/>
            </w:pPr>
            <w:r>
              <w:rPr>
                <w:rFonts w:ascii="Cambria" w:hAnsi="Cambria" w:cs="Cambria" w:eastAsia="Cambria"/>
                <w:sz w:val="19"/>
              </w:rPr>
              <w:t>POH-GGZ</w:t>
            </w:r>
          </w:p>
        </w:tc>
        <w:tc>
          <w:tcPr>
            <w:tcW w:type="dxa" w:w="2256"/>
          </w:tcPr>
          <w:p>
            <w:pPr>
              <w:spacing w:after="40" w:before="40"/>
              <w:jc w:val="left"/>
            </w:pPr>
            <w:r>
              <w:rPr>
                <w:rFonts w:ascii="Cambria" w:hAnsi="Cambria" w:cs="Cambria" w:eastAsia="Cambria"/>
                <w:sz w:val="19"/>
              </w:rPr>
              <w:t>Netherlands</w:t>
            </w:r>
          </w:p>
        </w:tc>
        <w:tc>
          <w:tcPr>
            <w:tcW w:type="dxa" w:w="2256"/>
          </w:tcPr>
          <w:p>
            <w:pPr>
              <w:spacing w:after="40" w:before="40"/>
              <w:jc w:val="left"/>
            </w:pPr>
            <w:r>
              <w:rPr>
                <w:rFonts w:ascii="Cambria" w:hAnsi="Cambria" w:cs="Cambria" w:eastAsia="Cambria"/>
                <w:sz w:val="19"/>
              </w:rPr>
              <w:t>&gt;700,000 accesses/year</w:t>
            </w:r>
          </w:p>
        </w:tc>
        <w:tc>
          <w:tcPr>
            <w:tcW w:type="dxa" w:w="2256"/>
          </w:tcPr>
          <w:p>
            <w:pPr>
              <w:spacing w:after="40" w:before="40"/>
              <w:jc w:val="left"/>
            </w:pPr>
            <w:r>
              <w:rPr>
                <w:rFonts w:ascii="Cambria" w:hAnsi="Cambria" w:cs="Cambria" w:eastAsia="Cambria"/>
                <w:sz w:val="19"/>
              </w:rPr>
              <w:t>−23% benzodiazepines; −31% referrals</w:t>
            </w:r>
          </w:p>
        </w:tc>
      </w:tr>
      <w:tr>
        <w:tc>
          <w:tcPr>
            <w:tcW w:type="dxa" w:w="2256"/>
          </w:tcPr>
          <w:p>
            <w:pPr>
              <w:spacing w:after="40" w:before="40"/>
              <w:jc w:val="left"/>
            </w:pPr>
            <w:r>
              <w:rPr>
                <w:rFonts w:ascii="Cambria" w:hAnsi="Cambria" w:cs="Cambria" w:eastAsia="Cambria"/>
                <w:sz w:val="19"/>
              </w:rPr>
              <w:t>Better Access</w:t>
            </w:r>
          </w:p>
        </w:tc>
        <w:tc>
          <w:tcPr>
            <w:tcW w:type="dxa" w:w="2256"/>
          </w:tcPr>
          <w:p>
            <w:pPr>
              <w:spacing w:after="40" w:before="40"/>
              <w:jc w:val="left"/>
            </w:pPr>
            <w:r>
              <w:rPr>
                <w:rFonts w:ascii="Cambria" w:hAnsi="Cambria" w:cs="Cambria" w:eastAsia="Cambria"/>
                <w:sz w:val="19"/>
              </w:rPr>
              <w:t>Australia</w:t>
            </w:r>
          </w:p>
        </w:tc>
        <w:tc>
          <w:tcPr>
            <w:tcW w:type="dxa" w:w="2256"/>
          </w:tcPr>
          <w:p>
            <w:pPr>
              <w:spacing w:after="40" w:before="40"/>
              <w:jc w:val="left"/>
            </w:pPr>
            <w:r>
              <w:rPr>
                <w:rFonts w:ascii="Cambria" w:hAnsi="Cambria" w:cs="Cambria" w:eastAsia="Cambria"/>
                <w:sz w:val="19"/>
              </w:rPr>
              <w:t>Up to 10 Medicare sessions</w:t>
            </w:r>
          </w:p>
        </w:tc>
        <w:tc>
          <w:tcPr>
            <w:tcW w:type="dxa" w:w="2256"/>
          </w:tcPr>
          <w:p>
            <w:pPr>
              <w:spacing w:after="40" w:before="40"/>
              <w:jc w:val="left"/>
            </w:pPr>
            <w:r>
              <w:rPr>
                <w:rFonts w:ascii="Cambria" w:hAnsi="Cambria" w:cs="Cambria" w:eastAsia="Cambria"/>
                <w:sz w:val="19"/>
              </w:rPr>
              <w:t>cost-benefit ratio 4.2:1 (source)</w:t>
            </w:r>
          </w:p>
        </w:tc>
      </w:tr>
      <w:tr>
        <w:tc>
          <w:tcPr>
            <w:tcW w:type="dxa" w:w="2256"/>
          </w:tcPr>
          <w:p>
            <w:pPr>
              <w:spacing w:after="40" w:before="40"/>
              <w:jc w:val="left"/>
            </w:pPr>
            <w:r>
              <w:rPr>
                <w:rFonts w:ascii="Cambria" w:hAnsi="Cambria" w:cs="Cambria" w:eastAsia="Cambria"/>
                <w:sz w:val="19"/>
              </w:rPr>
              <w:t>Collaborative Care Model</w:t>
            </w:r>
          </w:p>
        </w:tc>
        <w:tc>
          <w:tcPr>
            <w:tcW w:type="dxa" w:w="2256"/>
          </w:tcPr>
          <w:p>
            <w:pPr>
              <w:spacing w:after="40" w:before="40"/>
              <w:jc w:val="left"/>
            </w:pPr>
            <w:r>
              <w:rPr>
                <w:rFonts w:ascii="Cambria" w:hAnsi="Cambria" w:cs="Cambria" w:eastAsia="Cambria"/>
                <w:sz w:val="19"/>
              </w:rPr>
              <w:t>United States</w:t>
            </w:r>
          </w:p>
        </w:tc>
        <w:tc>
          <w:tcPr>
            <w:tcW w:type="dxa" w:w="2256"/>
          </w:tcPr>
          <w:p>
            <w:pPr>
              <w:spacing w:after="40" w:before="40"/>
              <w:jc w:val="left"/>
            </w:pPr>
            <w:r>
              <w:rPr>
                <w:rFonts w:ascii="Cambria" w:hAnsi="Cambria" w:cs="Cambria" w:eastAsia="Cambria"/>
                <w:sz w:val="19"/>
              </w:rPr>
              <w:t>&gt;90 validated RCTs</w:t>
            </w:r>
          </w:p>
        </w:tc>
        <w:tc>
          <w:tcPr>
            <w:tcW w:type="dxa" w:w="2256"/>
          </w:tcPr>
          <w:p>
            <w:pPr>
              <w:spacing w:after="40" w:before="40"/>
              <w:jc w:val="left"/>
            </w:pPr>
            <w:r>
              <w:rPr>
                <w:rFonts w:ascii="Cambria" w:hAnsi="Cambria" w:cs="Cambria" w:eastAsia="Cambria"/>
                <w:sz w:val="19"/>
              </w:rPr>
              <w:t>−47% depressive symptoms at 6 months</w:t>
            </w:r>
          </w:p>
        </w:tc>
      </w:tr>
    </w:tbl>
    <w:p/>
    <w:p>
      <w:pPr>
        <w:pStyle w:val="Heading2"/>
      </w:pPr>
      <w:r>
        <w:rPr>
          <w:rFonts w:ascii="Cambria" w:hAnsi="Cambria" w:cs="Cambria" w:eastAsia="Cambria"/>
        </w:rPr>
        <w:t xml:space="preserve">1.6. The </w:t>
      </w:r>
      <w:r>
        <w:rPr>
          <w:rFonts w:ascii="Cambria" w:hAnsi="Cambria" w:cs="Cambria" w:eastAsia="Cambria"/>
          <w:i/>
        </w:rPr>
        <w:t>Collaborative Care</w:t>
      </w:r>
      <w:r>
        <w:rPr>
          <w:rFonts w:ascii="Cambria" w:hAnsi="Cambria" w:cs="Cambria" w:eastAsia="Cambria"/>
        </w:rPr>
        <w:t xml:space="preserve"> Model: an evidence-based paradigm</w:t>
      </w:r>
    </w:p>
    <w:p>
      <w:r>
        <w:rPr>
          <w:rFonts w:ascii="Cambria" w:hAnsi="Cambria" w:cs="Cambria" w:eastAsia="Cambria"/>
        </w:rPr>
        <w:t xml:space="preserve">The </w:t>
      </w:r>
      <w:r>
        <w:rPr>
          <w:rFonts w:ascii="Cambria" w:hAnsi="Cambria" w:cs="Cambria" w:eastAsia="Cambria"/>
          <w:i/>
        </w:rPr>
        <w:t>Collaborative Care</w:t>
      </w:r>
      <w:r>
        <w:rPr>
          <w:rFonts w:ascii="Cambria" w:hAnsi="Cambria" w:cs="Cambria" w:eastAsia="Cambria"/>
        </w:rPr>
        <w:t xml:space="preserve"> Model (CoCM), developed at the University of Washington and validated through more than 90 randomised controlled trials, represents the leading evidence-based paradigm</w:t>
      </w:r>
      <w:r>
        <w:rPr>
          <w:rStyle w:val="FootnoteReference"/>
        </w:rPr>
        <w:footnoteReference w:id="8"/>
      </w:r>
      <w:r>
        <w:rPr>
          <w:rFonts w:ascii="Cambria" w:hAnsi="Cambria" w:cs="Cambria" w:eastAsia="Cambria"/>
        </w:rPr>
        <w:t>. A systematic review in BMC Primary Care in 2024, which analysed 42 implementations, documented average reductions of 47% in depressive symptoms at 6 months (PHQ-9), 43% in anxiety symptoms (GAD-7), 28% in days of absence from work, 34% in emergency department visits for psychosomatic symptoms, and 41% in psychiatric hospitalisations.</w:t>
      </w:r>
    </w:p>
    <w:p>
      <w:r>
        <w:rPr>
          <w:rFonts w:ascii="Cambria" w:hAnsi="Cambria" w:cs="Cambria" w:eastAsia="Cambria"/>
        </w:rPr>
        <w:t>The economic analysis of CoCM, conducted using Markov models and published in Health Affairs, shows that an initial investment of $500-800 per patient generates net savings of $1,800-3,200 over 24 months. The return on investment calculated over five years, according to the reference literature, falls within a range of 2.3 to 3.0 when considering economic benefits alone, and 3.3 to 5.7 when health returns are included</w:t>
      </w:r>
      <w:r>
        <w:rPr>
          <w:rStyle w:val="FootnoteReference"/>
        </w:rPr>
        <w:footnoteReference w:id="9"/>
      </w:r>
      <w:r>
        <w:rPr>
          <w:rFonts w:ascii="Cambria" w:hAnsi="Cambria" w:cs="Cambria" w:eastAsia="Cambria"/>
        </w:rPr>
        <w:t>; these ranges are adopted invariantly throughout this Study.</w:t>
      </w:r>
    </w:p>
    <w:p>
      <w:pPr>
        <w:pStyle w:val="Heading2"/>
      </w:pPr>
      <w:r>
        <w:rPr>
          <w:rFonts w:ascii="Cambria" w:hAnsi="Cambria" w:cs="Cambria" w:eastAsia="Cambria"/>
        </w:rPr>
        <w:t>1.7. The imperative of prevention: from neuroscience to policy</w:t>
      </w:r>
    </w:p>
    <w:p>
      <w:r>
        <w:rPr>
          <w:rFonts w:ascii="Cambria" w:hAnsi="Cambria" w:cs="Cambria" w:eastAsia="Cambria"/>
        </w:rPr>
        <w:t>Contemporary neuroscience has demonstrated, through functional neuroimaging, epigenetics and psychoneuroimmunology, that prolonged exposure to psychosocial stress produces measurable neurobiological changes: an 8-10% reduction in hippocampal volume, alterations in default mode network connectivity, a 23% increase in baseline cortisol, and circadian rhythm alterations in 67% of exposed subjects. This evidence provides the rationale for early preventive interventions.</w:t>
      </w:r>
    </w:p>
    <w:p>
      <w:r>
        <w:rPr>
          <w:rFonts w:ascii="Cambria" w:hAnsi="Cambria" w:cs="Cambria" w:eastAsia="Cambria"/>
        </w:rPr>
        <w:t>Indicated-prevention studies demonstrate that brief psychological interventions of 6-8 sessions reduce the incidence of major depression by 21% (risk ratio 0.79; 95% CI 0.69-0.91) and of anxiety disorders by 19% (risk ratio 0.81; 95% CI 0.72-0.92) over 12 months</w:t>
      </w:r>
      <w:r>
        <w:rPr>
          <w:rStyle w:val="FootnoteReference"/>
        </w:rPr>
        <w:footnoteReference w:id="10"/>
      </w:r>
      <w:r>
        <w:rPr>
          <w:rFonts w:ascii="Cambria" w:hAnsi="Cambria" w:cs="Cambria" w:eastAsia="Cambria"/>
        </w:rPr>
        <w:t>. According to the Mental Health Atlas 2024, 71% of countries meet at least 3 of the 5 WHO criteria for integrating mental health into primary care, yet significant disparities in access persist.</w:t>
      </w:r>
    </w:p>
    <w:p>
      <w:pPr>
        <w:pStyle w:val="Heading2"/>
      </w:pPr>
      <w:r>
        <w:rPr>
          <w:rFonts w:ascii="Cambria" w:hAnsi="Cambria" w:cs="Cambria" w:eastAsia="Cambria"/>
        </w:rPr>
        <w:t>1.8. The economic dimension: from the cost of inaction to the value of investment</w:t>
      </w:r>
    </w:p>
    <w:p>
      <w:r>
        <w:rPr>
          <w:rFonts w:ascii="Cambria" w:hAnsi="Cambria" w:cs="Cambria" w:eastAsia="Cambria"/>
        </w:rPr>
        <w:t>Depression and anxiety cost the global economy approximately US$1 trillion per year, predominantly through lost productivity</w:t>
      </w:r>
      <w:r>
        <w:rPr>
          <w:rStyle w:val="FootnoteReference"/>
        </w:rPr>
        <w:footnoteReference w:id="11"/>
      </w:r>
      <w:r>
        <w:rPr>
          <w:rFonts w:ascii="Cambria" w:hAnsi="Cambria" w:cs="Cambria" w:eastAsia="Cambria"/>
        </w:rPr>
        <w:t>. At the regional level, untreated mental disorders generate in Apulia estimated direct healthcare costs of €420 million per year and indirect costs from lost productivity, absenteeism and presenteeism of a further €780 million, for an overall impact exceeding €1.2 billion per year, equivalent to approximately 1.7% of regional GDP.</w:t>
      </w:r>
    </w:p>
    <w:p>
      <w:r>
        <w:rPr>
          <w:rFonts w:ascii="Cambria" w:hAnsi="Cambria" w:cs="Cambria" w:eastAsia="Cambria"/>
        </w:rPr>
        <w:t xml:space="preserve">Patients with untreated mental disorders show rates of healthcare service utilisation for somatic symptoms 78% higher than the general population: 12.3 outpatient visits per year versus 6.9, 3.4 times more diagnostic tests, emergency department attendance rates 2.8 times higher, and pharmaceutical costs 94% higher. Investment in a </w:t>
      </w:r>
      <w:r>
        <w:rPr>
          <w:rFonts w:ascii="Cambria" w:hAnsi="Cambria" w:cs="Cambria" w:eastAsia="Cambria"/>
          <w:i/>
        </w:rPr>
        <w:t>Primary Care Psychology</w:t>
      </w:r>
      <w:r>
        <w:rPr>
          <w:rFonts w:ascii="Cambria" w:hAnsi="Cambria" w:cs="Cambria" w:eastAsia="Cambria"/>
        </w:rPr>
        <w:t xml:space="preserve"> Service generates documented savings that amply exceed its costs.</w:t>
      </w:r>
    </w:p>
    <w:p>
      <w:pPr>
        <w:pStyle w:val="Heading2"/>
      </w:pPr>
      <w:r>
        <w:rPr>
          <w:rFonts w:ascii="Cambria" w:hAnsi="Cambria" w:cs="Cambria" w:eastAsia="Cambria"/>
        </w:rPr>
        <w:t xml:space="preserve">1.9. The proposed organisational model: systemic integration and </w:t>
      </w:r>
      <w:r>
        <w:rPr>
          <w:rFonts w:ascii="Cambria" w:hAnsi="Cambria" w:cs="Cambria" w:eastAsia="Cambria"/>
          <w:i/>
        </w:rPr>
        <w:t>stepped care</w:t>
      </w:r>
    </w:p>
    <w:p>
      <w:r>
        <w:rPr>
          <w:rFonts w:ascii="Cambria" w:hAnsi="Cambria" w:cs="Cambria" w:eastAsia="Cambria"/>
        </w:rPr>
        <w:t>The Service is configured as a structural component of territorial primary care, operating at district level in line with Ministerial Decree 77/2022 and Mission 6 of the PNRR</w:t>
      </w:r>
      <w:r>
        <w:rPr>
          <w:rStyle w:val="FootnoteReference"/>
        </w:rPr>
        <w:footnoteReference w:id="12"/>
      </w:r>
      <w:r>
        <w:rPr>
          <w:rFonts w:ascii="Cambria" w:hAnsi="Cambria" w:cs="Cambria" w:eastAsia="Cambria"/>
        </w:rPr>
        <w:t>. The model provides for the placement of dedicated psychologists within the Community Houses, at an optimal ratio of 1 psychologist per 4-5 general practitioners, corresponding to approximately 1 psychologist per 5,000-6,000 inhabitants under the standard scenario.</w:t>
      </w:r>
    </w:p>
    <w:p>
      <w:r>
        <w:rPr>
          <w:rFonts w:ascii="Cambria" w:hAnsi="Cambria" w:cs="Cambria" w:eastAsia="Cambria"/>
        </w:rPr>
        <w:t xml:space="preserve">The </w:t>
      </w:r>
      <w:r>
        <w:rPr>
          <w:rFonts w:ascii="Cambria" w:hAnsi="Cambria" w:cs="Cambria" w:eastAsia="Cambria"/>
          <w:i/>
        </w:rPr>
        <w:t>stepped-care</w:t>
      </w:r>
      <w:r>
        <w:rPr>
          <w:rFonts w:ascii="Cambria" w:hAnsi="Cambria" w:cs="Cambria" w:eastAsia="Cambria"/>
        </w:rPr>
        <w:t xml:space="preserve"> approach provides for three levels of intensity: watchful waiting and psychoeducation (1-2 sessions) for mild symptoms; brief, manualised psychological interventions (5-8 sessions, with a 67% effectiveness rate in achieving remission) for mild-to-moderate common disorders; and intensive treatment or referral to specialist services for the 15-20% of cases presenting severe disorders. The training of primary care psychologists provides for an initial pathway of at least 40 hours, plus continuing medical education (ECM) and clinical supervision.</w:t>
      </w:r>
    </w:p>
    <w:p>
      <w:pPr>
        <w:pStyle w:val="Heading2"/>
      </w:pPr>
      <w:r>
        <w:rPr>
          <w:rFonts w:ascii="Cambria" w:hAnsi="Cambria" w:cs="Cambria" w:eastAsia="Cambria"/>
        </w:rPr>
        <w:t>1.10. Monitoring and evaluation system</w:t>
      </w:r>
    </w:p>
    <w:p>
      <w:r>
        <w:rPr>
          <w:rFonts w:ascii="Cambria" w:hAnsi="Cambria" w:cs="Cambria" w:eastAsia="Cambria"/>
        </w:rPr>
        <w:t xml:space="preserve">Implementation provides for a multilevel monitoring system based on the Donabedian model, integrated with the principles of </w:t>
      </w:r>
      <w:r>
        <w:rPr>
          <w:rFonts w:ascii="Cambria" w:hAnsi="Cambria" w:cs="Cambria" w:eastAsia="Cambria"/>
          <w:i/>
        </w:rPr>
        <w:t>Routine Outcome Monitoring</w:t>
      </w:r>
      <w:r>
        <w:rPr>
          <w:rFonts w:ascii="Cambria" w:hAnsi="Cambria" w:cs="Cambria" w:eastAsia="Cambria"/>
        </w:rPr>
        <w:t xml:space="preserve"> validated within the IAPT context. Indicators are organised across four dimensions: structure (staffing and territorial distribution), process (activity volumes, waiting times, appropriateness), outcome (clinical effectiveness measured using PHQ-9, GAD-7, WHO-DAS; recovery and reliable-improvement rates), and economic impact (direct savings and indirect benefits, with ICER and ROI calculated at 1, 3 and 5 years).</w:t>
      </w:r>
    </w:p>
    <w:p>
      <w:pPr>
        <w:pStyle w:val="Heading2"/>
      </w:pPr>
      <w:r>
        <w:rPr>
          <w:rFonts w:ascii="Cambria" w:hAnsi="Cambria" w:cs="Cambria" w:eastAsia="Cambria"/>
        </w:rPr>
        <w:t>1.11. Conclusions of Chapter I</w:t>
      </w:r>
    </w:p>
    <w:p>
      <w:r>
        <w:rPr>
          <w:rFonts w:ascii="Cambria" w:hAnsi="Cambria" w:cs="Cambria" w:eastAsia="Cambria"/>
        </w:rPr>
        <w:t xml:space="preserve">The establishment of the </w:t>
      </w:r>
      <w:r>
        <w:rPr>
          <w:rFonts w:ascii="Cambria" w:hAnsi="Cambria" w:cs="Cambria" w:eastAsia="Cambria"/>
          <w:i/>
        </w:rPr>
        <w:t>Primary Care Psychology</w:t>
      </w:r>
      <w:r>
        <w:rPr>
          <w:rFonts w:ascii="Cambria" w:hAnsi="Cambria" w:cs="Cambria" w:eastAsia="Cambria"/>
        </w:rPr>
        <w:t xml:space="preserve"> Service does not represent an optional policy choice, but an evidence-based, legally grounded and economically sustainable response to a health and social emergency. International evidence demonstrates that the integration of psychology into primary care produces measurable clinical benefits, improves the appropriateness of the system, reduces inequalities, and generates an economic return that, within the prudential ranges adopted, runs from 2.3 to 3.0 for economic benefits alone and from 3.3 to 5.7 including health returns.</w:t>
      </w:r>
    </w:p>
    <w:p>
      <w:r>
        <w:rPr>
          <w:rFonts w:ascii="Cambria" w:hAnsi="Cambria" w:cs="Cambria" w:eastAsia="Cambria"/>
        </w:rPr>
        <w:t>Apulia, with its specific vulnerabilities, has the opportunity to transform this fragility into a laboratory for innovation. The evaluation clause provided for in the draft law ensures that the reform is subject to democratic scrutiny and continuous improvement based on empirical data, placing the Region at the European forefront as a replicable model.</w:t>
      </w:r>
    </w:p>
    <w:p>
      <w:pPr>
        <w:pStyle w:val="Heading1"/>
      </w:pPr>
      <w:r>
        <w:rPr>
          <w:rFonts w:ascii="Cambria" w:hAnsi="Cambria" w:cs="Cambria" w:eastAsia="Cambria"/>
        </w:rPr>
        <w:t>CHAPTER II — CONTEXT FRAMEWORK: NEEDS, CRITICAL ISSUES AND RATIONALE OF THE REFORM</w:t>
      </w:r>
    </w:p>
    <w:p>
      <w:pPr>
        <w:pStyle w:val="Heading2"/>
      </w:pPr>
      <w:r>
        <w:rPr>
          <w:rFonts w:ascii="Cambria" w:hAnsi="Cambria" w:cs="Cambria" w:eastAsia="Cambria"/>
        </w:rPr>
        <w:t>Methodological foreword to the chapter</w:t>
      </w:r>
    </w:p>
    <w:p>
      <w:r>
        <w:rPr>
          <w:rFonts w:ascii="Cambria" w:hAnsi="Cambria" w:cs="Cambria" w:eastAsia="Cambria"/>
        </w:rPr>
        <w:t>Chapter II constitutes the founding analytical core of the entire proposal, providing a scientifically rigorous and quantitatively grounded examination of the epidemiological, demographic, socioeconomic and health-related context. The analysis proceeds through a multidisciplinary approach integrating descriptive and analytical epidemiology, mathematical demography, health economics, the sociology of health and the comparative evaluation of international care models, organised around five interconnected analytical axes: the demographic transition, the epidemiological burden, socioeconomic determinants, the configuration of the regional health system, and the comparative analysis of international models.</w:t>
      </w:r>
    </w:p>
    <w:p>
      <w:pPr>
        <w:pStyle w:val="Heading2"/>
      </w:pPr>
      <w:r>
        <w:rPr>
          <w:rFonts w:ascii="Cambria" w:hAnsi="Cambria" w:cs="Cambria" w:eastAsia="Cambria"/>
        </w:rPr>
        <w:t>2.1. The demographic transition as a structural factor amplifying need</w:t>
      </w:r>
    </w:p>
    <w:p>
      <w:pPr>
        <w:pStyle w:val="Heading3"/>
      </w:pPr>
      <w:r>
        <w:rPr>
          <w:rFonts w:ascii="Cambria" w:hAnsi="Cambria" w:cs="Cambria" w:eastAsia="Cambria"/>
        </w:rPr>
        <w:t>2.1.1. Updated demographic data and long-term projections</w:t>
      </w:r>
    </w:p>
    <w:p>
      <w:r>
        <w:rPr>
          <w:rFonts w:ascii="Cambria" w:hAnsi="Cambria" w:cs="Cambria" w:eastAsia="Cambria"/>
        </w:rPr>
        <w:t>According to the Permanent Population Census (ISTAT, April 2025), the population resident in Apulia as at 31 December 2023 amounted to 3,890,661 individuals, a reduction of 17,022 compared with the previous year</w:t>
      </w:r>
      <w:r>
        <w:rPr>
          <w:rStyle w:val="FootnoteReference"/>
        </w:rPr>
        <w:footnoteReference w:id="13"/>
      </w:r>
      <w:r>
        <w:rPr>
          <w:rFonts w:ascii="Cambria" w:hAnsi="Cambria" w:cs="Cambria" w:eastAsia="Cambria"/>
        </w:rPr>
        <w:t>. ISTAT Demographic Indicators updated to 1 January 2025 quantify the population at approximately 3,874,000 residents, of whom around 157,000 are foreign nationals (4% of the total). The median age has reached 46.7 years, rising steadily from 42.9 in 2011.</w:t>
      </w:r>
    </w:p>
    <w:p>
      <w:r>
        <w:rPr>
          <w:rFonts w:ascii="Cambria" w:hAnsi="Cambria" w:cs="Cambria" w:eastAsia="Cambria"/>
        </w:rPr>
        <w:t>The ageing index reached 200.8 older persons for every 100 young people in 2023, a dramatic increase from 193.6 in 2022. 63.5% of residents fall within the working-age bracket (15-64 years), those aged over 65 account for 24.7% (approximately 950,000 individuals), and those under 15 for only 11.8%. The oldest-old, aged 75 and above, number 461,000 and will grow to 658,000 by 2050 (+43%).</w:t>
      </w:r>
    </w:p>
    <w:p>
      <w:r>
        <w:rPr>
          <w:rFonts w:ascii="Cambria" w:hAnsi="Cambria" w:cs="Cambria" w:eastAsia="Cambria"/>
        </w:rPr>
        <w:t>The collapse in the birth rate constitutes the second pillar of the transition: 25,591 live births were registered in 2023, a 40% decline from approximately 43,000 in 2000. The total fertility rate stands at 1.16 children per woman, dramatically below the replacement threshold of 2.1. ISTAT projections outline a decline to 3,669,000 inhabitants by 2030 (−3.5%) and to 3,229,000 by 2050 (−17.4%), with the population aged over 65 reaching 37.1% of the total.</w:t>
      </w:r>
    </w:p>
    <w:p>
      <w:pPr>
        <w:pStyle w:val="Heading3"/>
      </w:pPr>
      <w:r>
        <w:rPr>
          <w:rFonts w:ascii="Cambria" w:hAnsi="Cambria" w:cs="Cambria" w:eastAsia="Cambria"/>
        </w:rPr>
        <w:t>2.1.2. Epidemiological correlation between ageing and the prevalence of mental disorders</w:t>
      </w:r>
    </w:p>
    <w:p>
      <w:r>
        <w:rPr>
          <w:rFonts w:ascii="Cambria" w:hAnsi="Cambria" w:cs="Cambria" w:eastAsia="Cambria"/>
        </w:rPr>
        <w:t>A meta-analysis in The Lancet Psychiatry, which pooled 174 epidemiological studies across 59 countries covering more than one million individuals, quantified the point prevalence of major depression in the population aged over 65 at between 10 and 15%, rising to 25-30% in sub-populations with multiple chronic conditions</w:t>
      </w:r>
      <w:r>
        <w:rPr>
          <w:rStyle w:val="FootnoteReference"/>
        </w:rPr>
        <w:footnoteReference w:id="14"/>
      </w:r>
      <w:r>
        <w:rPr>
          <w:rFonts w:ascii="Cambria" w:hAnsi="Cambria" w:cs="Cambria" w:eastAsia="Cambria"/>
        </w:rPr>
        <w:t>. A longitudinal study in JAMA Psychiatry documented a cumulative incidence of first depressive episodes of 22% over fifteen years.</w:t>
      </w:r>
    </w:p>
    <w:p>
      <w:r>
        <w:rPr>
          <w:rFonts w:ascii="Cambria" w:hAnsi="Cambria" w:cs="Cambria" w:eastAsia="Cambria"/>
        </w:rPr>
        <w:t>The meta-analysis by Volkert and colleagues in World Psychiatry estimates the prevalence of clinically significant anxiety disorders in the older population at between 10 and 20%. Particularly significant is the comorbidity between mental disorders and chronic conditions: diabetic patients show a doubled risk of depression (OR 2.0; 95% CI 1.8-2.3), with a prevalence of 28% in type 2 diabetes</w:t>
      </w:r>
      <w:r>
        <w:rPr>
          <w:rStyle w:val="FootnoteReference"/>
        </w:rPr>
        <w:footnoteReference w:id="15"/>
      </w:r>
      <w:r>
        <w:rPr>
          <w:rFonts w:ascii="Cambria" w:hAnsi="Cambria" w:cs="Cambria" w:eastAsia="Cambria"/>
        </w:rPr>
        <w:t>. In cardiovascular disease, depressive symptoms are associated with a 50% increased risk of major adverse events at five years; in COPD, anxious-depressive comorbidity reaches 25-40%.</w:t>
      </w:r>
    </w:p>
    <w:p>
      <w:r>
        <w:rPr>
          <w:rFonts w:ascii="Cambria" w:hAnsi="Cambria" w:cs="Cambria" w:eastAsia="Cambria"/>
        </w:rPr>
        <w:t>Tab. 2.1 — Prevalence of mental disorders in chronic conditions (international meta-analyses)</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Chronic condition</w:t>
            </w:r>
          </w:p>
        </w:tc>
        <w:tc>
          <w:tcPr>
            <w:tcW w:type="dxa" w:w="3009"/>
            <w:shd w:val="clear" w:color="auto" w:fill="16264B"/>
          </w:tcPr>
          <w:p>
            <w:pPr>
              <w:spacing w:after="40" w:before="40"/>
              <w:jc w:val="left"/>
            </w:pPr>
            <w:r>
              <w:rPr>
                <w:rFonts w:ascii="Cambria" w:hAnsi="Cambria" w:cs="Cambria" w:eastAsia="Cambria"/>
                <w:b/>
                <w:color w:val="FFFFFF"/>
                <w:sz w:val="19"/>
              </w:rPr>
              <w:t>Psychiatric comorbidity</w:t>
            </w:r>
          </w:p>
        </w:tc>
        <w:tc>
          <w:tcPr>
            <w:tcW w:type="dxa" w:w="3009"/>
            <w:shd w:val="clear" w:color="auto" w:fill="16264B"/>
          </w:tcPr>
          <w:p>
            <w:pPr>
              <w:spacing w:after="40" w:before="40"/>
              <w:jc w:val="left"/>
            </w:pPr>
            <w:r>
              <w:rPr>
                <w:rFonts w:ascii="Cambria" w:hAnsi="Cambria" w:cs="Cambria" w:eastAsia="Cambria"/>
                <w:b/>
                <w:color w:val="FFFFFF"/>
                <w:sz w:val="19"/>
              </w:rPr>
              <w:t>Source</w:t>
            </w:r>
          </w:p>
        </w:tc>
      </w:tr>
      <w:tr>
        <w:tc>
          <w:tcPr>
            <w:tcW w:type="dxa" w:w="3009"/>
          </w:tcPr>
          <w:p>
            <w:pPr>
              <w:spacing w:after="40" w:before="40"/>
              <w:jc w:val="left"/>
            </w:pPr>
            <w:r>
              <w:rPr>
                <w:rFonts w:ascii="Cambria" w:hAnsi="Cambria" w:cs="Cambria" w:eastAsia="Cambria"/>
                <w:sz w:val="19"/>
              </w:rPr>
              <w:t>Type 2 diabetes</w:t>
            </w:r>
          </w:p>
        </w:tc>
        <w:tc>
          <w:tcPr>
            <w:tcW w:type="dxa" w:w="3009"/>
          </w:tcPr>
          <w:p>
            <w:pPr>
              <w:spacing w:after="40" w:before="40"/>
              <w:jc w:val="left"/>
            </w:pPr>
            <w:r>
              <w:rPr>
                <w:rFonts w:ascii="Cambria" w:hAnsi="Cambria" w:cs="Cambria" w:eastAsia="Cambria"/>
                <w:sz w:val="19"/>
              </w:rPr>
              <w:t>Depression 28% (OR 2.0)</w:t>
            </w:r>
          </w:p>
        </w:tc>
        <w:tc>
          <w:tcPr>
            <w:tcW w:type="dxa" w:w="3009"/>
          </w:tcPr>
          <w:p>
            <w:pPr>
              <w:spacing w:after="40" w:before="40"/>
              <w:jc w:val="left"/>
            </w:pPr>
            <w:r>
              <w:rPr>
                <w:rFonts w:ascii="Cambria" w:hAnsi="Cambria" w:cs="Cambria" w:eastAsia="Cambria"/>
                <w:sz w:val="19"/>
              </w:rPr>
              <w:t>Khaledi et al., Acta Diabetologica 2019</w:t>
            </w:r>
          </w:p>
        </w:tc>
      </w:tr>
      <w:tr>
        <w:tc>
          <w:tcPr>
            <w:tcW w:type="dxa" w:w="3009"/>
          </w:tcPr>
          <w:p>
            <w:pPr>
              <w:spacing w:after="40" w:before="40"/>
              <w:jc w:val="left"/>
            </w:pPr>
            <w:r>
              <w:rPr>
                <w:rFonts w:ascii="Cambria" w:hAnsi="Cambria" w:cs="Cambria" w:eastAsia="Cambria"/>
                <w:sz w:val="19"/>
              </w:rPr>
              <w:t>Heart disease</w:t>
            </w:r>
          </w:p>
        </w:tc>
        <w:tc>
          <w:tcPr>
            <w:tcW w:type="dxa" w:w="3009"/>
          </w:tcPr>
          <w:p>
            <w:pPr>
              <w:spacing w:after="40" w:before="40"/>
              <w:jc w:val="left"/>
            </w:pPr>
            <w:r>
              <w:rPr>
                <w:rFonts w:ascii="Cambria" w:hAnsi="Cambria" w:cs="Cambria" w:eastAsia="Cambria"/>
                <w:sz w:val="19"/>
              </w:rPr>
              <w:t>+50% adverse events at 5 years</w:t>
            </w:r>
          </w:p>
        </w:tc>
        <w:tc>
          <w:tcPr>
            <w:tcW w:type="dxa" w:w="3009"/>
          </w:tcPr>
          <w:p>
            <w:pPr>
              <w:spacing w:after="40" w:before="40"/>
              <w:jc w:val="left"/>
            </w:pPr>
            <w:r>
              <w:rPr>
                <w:rFonts w:ascii="Cambria" w:hAnsi="Cambria" w:cs="Cambria" w:eastAsia="Cambria"/>
                <w:sz w:val="19"/>
              </w:rPr>
              <w:t>Martens et al., 2010 (Heart and Soul)</w:t>
            </w:r>
          </w:p>
        </w:tc>
      </w:tr>
      <w:tr>
        <w:tc>
          <w:tcPr>
            <w:tcW w:type="dxa" w:w="3009"/>
          </w:tcPr>
          <w:p>
            <w:pPr>
              <w:spacing w:after="40" w:before="40"/>
              <w:jc w:val="left"/>
            </w:pPr>
            <w:r>
              <w:rPr>
                <w:rFonts w:ascii="Cambria" w:hAnsi="Cambria" w:cs="Cambria" w:eastAsia="Cambria"/>
                <w:sz w:val="19"/>
              </w:rPr>
              <w:t>COPD</w:t>
            </w:r>
          </w:p>
        </w:tc>
        <w:tc>
          <w:tcPr>
            <w:tcW w:type="dxa" w:w="3009"/>
          </w:tcPr>
          <w:p>
            <w:pPr>
              <w:spacing w:after="40" w:before="40"/>
              <w:jc w:val="left"/>
            </w:pPr>
            <w:r>
              <w:rPr>
                <w:rFonts w:ascii="Cambria" w:hAnsi="Cambria" w:cs="Cambria" w:eastAsia="Cambria"/>
                <w:sz w:val="19"/>
              </w:rPr>
              <w:t>Anxiety/depression 25-40%</w:t>
            </w:r>
          </w:p>
        </w:tc>
        <w:tc>
          <w:tcPr>
            <w:tcW w:type="dxa" w:w="3009"/>
          </w:tcPr>
          <w:p>
            <w:pPr>
              <w:spacing w:after="40" w:before="40"/>
              <w:jc w:val="left"/>
            </w:pPr>
            <w:r>
              <w:rPr>
                <w:rFonts w:ascii="Cambria" w:hAnsi="Cambria" w:cs="Cambria" w:eastAsia="Cambria"/>
                <w:sz w:val="19"/>
              </w:rPr>
              <w:t>Zhang et al., 2011</w:t>
            </w:r>
          </w:p>
        </w:tc>
      </w:tr>
      <w:tr>
        <w:tc>
          <w:tcPr>
            <w:tcW w:type="dxa" w:w="3009"/>
          </w:tcPr>
          <w:p>
            <w:pPr>
              <w:spacing w:after="40" w:before="40"/>
              <w:jc w:val="left"/>
            </w:pPr>
            <w:r>
              <w:rPr>
                <w:rFonts w:ascii="Cambria" w:hAnsi="Cambria" w:cs="Cambria" w:eastAsia="Cambria"/>
                <w:sz w:val="19"/>
              </w:rPr>
              <w:t>Older adults with multimorbidity</w:t>
            </w:r>
          </w:p>
        </w:tc>
        <w:tc>
          <w:tcPr>
            <w:tcW w:type="dxa" w:w="3009"/>
          </w:tcPr>
          <w:p>
            <w:pPr>
              <w:spacing w:after="40" w:before="40"/>
              <w:jc w:val="left"/>
            </w:pPr>
            <w:r>
              <w:rPr>
                <w:rFonts w:ascii="Cambria" w:hAnsi="Cambria" w:cs="Cambria" w:eastAsia="Cambria"/>
                <w:sz w:val="19"/>
              </w:rPr>
              <w:t>Depression 25-30%</w:t>
            </w:r>
          </w:p>
        </w:tc>
        <w:tc>
          <w:tcPr>
            <w:tcW w:type="dxa" w:w="3009"/>
          </w:tcPr>
          <w:p>
            <w:pPr>
              <w:spacing w:after="40" w:before="40"/>
              <w:jc w:val="left"/>
            </w:pPr>
            <w:r>
              <w:rPr>
                <w:rFonts w:ascii="Cambria" w:hAnsi="Cambria" w:cs="Cambria" w:eastAsia="Cambria"/>
                <w:sz w:val="19"/>
              </w:rPr>
              <w:t>The Lancet Psychiatry (meta-analysis)</w:t>
            </w:r>
          </w:p>
        </w:tc>
      </w:tr>
    </w:tbl>
    <w:p/>
    <w:p>
      <w:pPr>
        <w:pStyle w:val="Heading3"/>
      </w:pPr>
      <w:r>
        <w:rPr>
          <w:rFonts w:ascii="Cambria" w:hAnsi="Cambria" w:cs="Cambria" w:eastAsia="Cambria"/>
        </w:rPr>
        <w:t>2.1.3. Quantification of the expected burden in the Apulian population</w:t>
      </w:r>
    </w:p>
    <w:p>
      <w:r>
        <w:rPr>
          <w:rFonts w:ascii="Cambria" w:hAnsi="Cambria" w:cs="Cambria" w:eastAsia="Cambria"/>
        </w:rPr>
        <w:t>Applying validated epidemiological coefficients to the Apulian older population (approximately 945,000 individuals), it is estimated that between 95,000 and 142,000 older people currently present clinically significant depressive disorders, and between 142,000 and 190,000 present anxiety disorders. Considering the sub-population of older people with multimorbidity (approximately 400,000 individuals) and comorbidity rates of 25-30%, this yields an estimate of 100,000-125,000 chronically ill older people with comorbid depression.</w:t>
      </w:r>
    </w:p>
    <w:p>
      <w:r>
        <w:rPr>
          <w:rFonts w:ascii="Cambria" w:hAnsi="Cambria" w:cs="Cambria" w:eastAsia="Cambria"/>
        </w:rPr>
        <w:t>By 2050, with the population aged over 65 growing to approximately 1,200,000 individuals, it is estimated that between 240,000 and 360,000 older people will present common mental disorders, an increase of approximately 50% over current levels. Extending the analysis to the whole population and applying WHO annual prevalence rates of 20-30%, it is estimated that approximately 780,000-1,160,000 Apulians could benefit from psychological interventions of varying intensity.</w:t>
      </w:r>
    </w:p>
    <w:p>
      <w:pPr>
        <w:pStyle w:val="Heading2"/>
      </w:pPr>
      <w:r>
        <w:rPr>
          <w:rFonts w:ascii="Cambria" w:hAnsi="Cambria" w:cs="Cambria" w:eastAsia="Cambria"/>
        </w:rPr>
        <w:t>2.2. The epidemiological burden of mental health in Apulia: the hidden and the emerging</w:t>
      </w:r>
    </w:p>
    <w:p>
      <w:pPr>
        <w:pStyle w:val="Heading3"/>
      </w:pPr>
      <w:r>
        <w:rPr>
          <w:rFonts w:ascii="Cambria" w:hAnsi="Cambria" w:cs="Cambria" w:eastAsia="Cambria"/>
        </w:rPr>
        <w:t>2.2.1. Department of Mental Health data</w:t>
      </w:r>
    </w:p>
    <w:p>
      <w:r>
        <w:rPr>
          <w:rFonts w:ascii="Cambria" w:hAnsi="Cambria" w:cs="Cambria" w:eastAsia="Cambria"/>
        </w:rPr>
        <w:t>According to the Ministry of Health's SISM 2023 Report, Apulian Departments of Mental Health had 54,946 users in care, of whom 18,939 were new users in 2023</w:t>
      </w:r>
      <w:r>
        <w:rPr>
          <w:rStyle w:val="FootnoteReference"/>
        </w:rPr>
        <w:footnoteReference w:id="16"/>
      </w:r>
      <w:r>
        <w:rPr>
          <w:rFonts w:ascii="Cambria" w:hAnsi="Cambria" w:cs="Cambria" w:eastAsia="Cambria"/>
        </w:rPr>
        <w:t>. The Departments of Mental Health deal predominantly with severe and persistent mental disorders, while common disorders of mild-to-moderate severity tend either not to be intercepted at all, or to be so only at an advanced stage.</w:t>
      </w:r>
    </w:p>
    <w:p>
      <w:r>
        <w:rPr>
          <w:rFonts w:ascii="Cambria" w:hAnsi="Cambria" w:cs="Cambria" w:eastAsia="Cambria"/>
        </w:rPr>
        <w:t>The territorial network comprises 6 Departments of Mental Health, 47 Mental Health Centres, 224 residential facilities and 50 semi-residential facilities. Total staffing amounts to 1,813 units, of whom 287 are physicians (225 psychiatrists), 170 are psychologists, and 580 are nurses. The 170 psychologists represent a ratio of 4.4 per 100,000 inhabitants, dramatically below the ratios of more than 45 per 100,000 observed in France and Canada.</w:t>
      </w:r>
    </w:p>
    <w:p>
      <w:pPr>
        <w:pStyle w:val="Heading3"/>
      </w:pPr>
      <w:r>
        <w:rPr>
          <w:rFonts w:ascii="Cambria" w:hAnsi="Cambria" w:cs="Cambria" w:eastAsia="Cambria"/>
        </w:rPr>
        <w:t>2.2.2. Emergency Department visits for psychiatric causes</w:t>
      </w:r>
    </w:p>
    <w:p>
      <w:r>
        <w:rPr>
          <w:rFonts w:ascii="Cambria" w:hAnsi="Cambria" w:cs="Cambria" w:eastAsia="Cambria"/>
        </w:rPr>
        <w:t>In 2023, 18,753 visits to Apulian Emergency Departments were recorded for psychiatric causes, more than 50 per day, an increase of 30% over pre-pandemic levels</w:t>
      </w:r>
      <w:r>
        <w:rPr>
          <w:rStyle w:val="FootnoteReference"/>
        </w:rPr>
        <w:footnoteReference w:id="17"/>
      </w:r>
      <w:r>
        <w:rPr>
          <w:rFonts w:ascii="Cambria" w:hAnsi="Cambria" w:cs="Cambria" w:eastAsia="Cambria"/>
        </w:rPr>
        <w:t>. Neurotic and somatoform syndromes constitute the most frequent problem (more than 10,000 cases), disorders that should not be managed in emergency settings but which find in the Emergency Department their only point of access in the absence of proximity-based territorial services.</w:t>
      </w:r>
    </w:p>
    <w:p>
      <w:pPr>
        <w:pStyle w:val="Heading3"/>
      </w:pPr>
      <w:r>
        <w:rPr>
          <w:rFonts w:ascii="Cambria" w:hAnsi="Cambria" w:cs="Cambria" w:eastAsia="Cambria"/>
        </w:rPr>
        <w:t>2.2.3. Territorial services and the cost of psychiatric care</w:t>
      </w:r>
    </w:p>
    <w:p>
      <w:r>
        <w:rPr>
          <w:rFonts w:ascii="Cambria" w:hAnsi="Cambria" w:cs="Cambria" w:eastAsia="Cambria"/>
        </w:rPr>
        <w:t>Apulian Departments of Mental Health delivered more than 537,000 territorial services in 2023, of which 48,803 were home-based. The overall cost of territorial psychiatric care amounts to €274.1 million, to which €11.2 million must be added for hospital admissions, for a total of approximately €285 million</w:t>
      </w:r>
      <w:r>
        <w:rPr>
          <w:rStyle w:val="FootnoteReference"/>
        </w:rPr>
        <w:footnoteReference w:id="18"/>
      </w:r>
      <w:r>
        <w:rPr>
          <w:rFonts w:ascii="Cambria" w:hAnsi="Cambria" w:cs="Cambria" w:eastAsia="Cambria"/>
        </w:rPr>
        <w:t>, equivalent to 3.3% of regional public health expenditure (approximately €8.55 billion). The gap relative to the WHO standard of 5% corresponds to approximately €142 million per year of structural under-investment.</w:t>
      </w:r>
    </w:p>
    <w:p>
      <w:r>
        <w:rPr>
          <w:rFonts w:ascii="Cambria" w:hAnsi="Cambria" w:cs="Cambria" w:eastAsia="Cambria"/>
        </w:rPr>
        <w:t>Tab. 2.2 — Composition of expenditure on psychiatric care in Apulia (2023)</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Expenditure item</w:t>
            </w:r>
          </w:p>
        </w:tc>
        <w:tc>
          <w:tcPr>
            <w:tcW w:type="dxa" w:w="3009"/>
            <w:shd w:val="clear" w:color="auto" w:fill="16264B"/>
          </w:tcPr>
          <w:p>
            <w:pPr>
              <w:spacing w:after="40" w:before="40"/>
              <w:jc w:val="left"/>
            </w:pPr>
            <w:r>
              <w:rPr>
                <w:rFonts w:ascii="Cambria" w:hAnsi="Cambria" w:cs="Cambria" w:eastAsia="Cambria"/>
                <w:b/>
                <w:color w:val="FFFFFF"/>
                <w:sz w:val="19"/>
              </w:rPr>
              <w:t>€ million</w:t>
            </w:r>
          </w:p>
        </w:tc>
        <w:tc>
          <w:tcPr>
            <w:tcW w:type="dxa" w:w="3009"/>
            <w:shd w:val="clear" w:color="auto" w:fill="16264B"/>
          </w:tcPr>
          <w:p>
            <w:pPr>
              <w:spacing w:after="40" w:before="40"/>
              <w:jc w:val="left"/>
            </w:pPr>
            <w:r>
              <w:rPr>
                <w:rFonts w:ascii="Cambria" w:hAnsi="Cambria" w:cs="Cambria" w:eastAsia="Cambria"/>
                <w:b/>
                <w:color w:val="FFFFFF"/>
                <w:sz w:val="19"/>
              </w:rPr>
              <w:t>Share</w:t>
            </w:r>
          </w:p>
        </w:tc>
      </w:tr>
      <w:tr>
        <w:tc>
          <w:tcPr>
            <w:tcW w:type="dxa" w:w="3009"/>
          </w:tcPr>
          <w:p>
            <w:pPr>
              <w:spacing w:after="40" w:before="40"/>
              <w:jc w:val="left"/>
            </w:pPr>
            <w:r>
              <w:rPr>
                <w:rFonts w:ascii="Cambria" w:hAnsi="Cambria" w:cs="Cambria" w:eastAsia="Cambria"/>
                <w:sz w:val="19"/>
              </w:rPr>
              <w:t>Outpatient and home-based care (Mental Health Centres)</w:t>
            </w:r>
          </w:p>
        </w:tc>
        <w:tc>
          <w:tcPr>
            <w:tcW w:type="dxa" w:w="3009"/>
          </w:tcPr>
          <w:p>
            <w:pPr>
              <w:spacing w:after="40" w:before="40"/>
              <w:jc w:val="left"/>
            </w:pPr>
            <w:r>
              <w:rPr>
                <w:rFonts w:ascii="Cambria" w:hAnsi="Cambria" w:cs="Cambria" w:eastAsia="Cambria"/>
                <w:sz w:val="19"/>
              </w:rPr>
              <w:t>117.2</w:t>
            </w:r>
          </w:p>
        </w:tc>
        <w:tc>
          <w:tcPr>
            <w:tcW w:type="dxa" w:w="3009"/>
          </w:tcPr>
          <w:p>
            <w:pPr>
              <w:spacing w:after="40" w:before="40"/>
              <w:jc w:val="left"/>
            </w:pPr>
            <w:r>
              <w:rPr>
                <w:rFonts w:ascii="Cambria" w:hAnsi="Cambria" w:cs="Cambria" w:eastAsia="Cambria"/>
                <w:sz w:val="19"/>
              </w:rPr>
              <w:t>41.1%</w:t>
            </w:r>
          </w:p>
        </w:tc>
      </w:tr>
      <w:tr>
        <w:tc>
          <w:tcPr>
            <w:tcW w:type="dxa" w:w="3009"/>
          </w:tcPr>
          <w:p>
            <w:pPr>
              <w:spacing w:after="40" w:before="40"/>
              <w:jc w:val="left"/>
            </w:pPr>
            <w:r>
              <w:rPr>
                <w:rFonts w:ascii="Cambria" w:hAnsi="Cambria" w:cs="Cambria" w:eastAsia="Cambria"/>
                <w:sz w:val="19"/>
              </w:rPr>
              <w:t>Semi-residential care</w:t>
            </w:r>
          </w:p>
        </w:tc>
        <w:tc>
          <w:tcPr>
            <w:tcW w:type="dxa" w:w="3009"/>
          </w:tcPr>
          <w:p>
            <w:pPr>
              <w:spacing w:after="40" w:before="40"/>
              <w:jc w:val="left"/>
            </w:pPr>
            <w:r>
              <w:rPr>
                <w:rFonts w:ascii="Cambria" w:hAnsi="Cambria" w:cs="Cambria" w:eastAsia="Cambria"/>
                <w:sz w:val="19"/>
              </w:rPr>
              <w:t>22.5</w:t>
            </w:r>
          </w:p>
        </w:tc>
        <w:tc>
          <w:tcPr>
            <w:tcW w:type="dxa" w:w="3009"/>
          </w:tcPr>
          <w:p>
            <w:pPr>
              <w:spacing w:after="40" w:before="40"/>
              <w:jc w:val="left"/>
            </w:pPr>
            <w:r>
              <w:rPr>
                <w:rFonts w:ascii="Cambria" w:hAnsi="Cambria" w:cs="Cambria" w:eastAsia="Cambria"/>
                <w:sz w:val="19"/>
              </w:rPr>
              <w:t>7.9%</w:t>
            </w:r>
          </w:p>
        </w:tc>
      </w:tr>
      <w:tr>
        <w:tc>
          <w:tcPr>
            <w:tcW w:type="dxa" w:w="3009"/>
          </w:tcPr>
          <w:p>
            <w:pPr>
              <w:spacing w:after="40" w:before="40"/>
              <w:jc w:val="left"/>
            </w:pPr>
            <w:r>
              <w:rPr>
                <w:rFonts w:ascii="Cambria" w:hAnsi="Cambria" w:cs="Cambria" w:eastAsia="Cambria"/>
                <w:sz w:val="19"/>
              </w:rPr>
              <w:t>Residential care</w:t>
            </w:r>
          </w:p>
        </w:tc>
        <w:tc>
          <w:tcPr>
            <w:tcW w:type="dxa" w:w="3009"/>
          </w:tcPr>
          <w:p>
            <w:pPr>
              <w:spacing w:after="40" w:before="40"/>
              <w:jc w:val="left"/>
            </w:pPr>
            <w:r>
              <w:rPr>
                <w:rFonts w:ascii="Cambria" w:hAnsi="Cambria" w:cs="Cambria" w:eastAsia="Cambria"/>
                <w:sz w:val="19"/>
              </w:rPr>
              <w:t>134.3</w:t>
            </w:r>
          </w:p>
        </w:tc>
        <w:tc>
          <w:tcPr>
            <w:tcW w:type="dxa" w:w="3009"/>
          </w:tcPr>
          <w:p>
            <w:pPr>
              <w:spacing w:after="40" w:before="40"/>
              <w:jc w:val="left"/>
            </w:pPr>
            <w:r>
              <w:rPr>
                <w:rFonts w:ascii="Cambria" w:hAnsi="Cambria" w:cs="Cambria" w:eastAsia="Cambria"/>
                <w:sz w:val="19"/>
              </w:rPr>
              <w:t>47.1%</w:t>
            </w:r>
          </w:p>
        </w:tc>
      </w:tr>
      <w:tr>
        <w:tc>
          <w:tcPr>
            <w:tcW w:type="dxa" w:w="3009"/>
          </w:tcPr>
          <w:p>
            <w:pPr>
              <w:spacing w:after="40" w:before="40"/>
              <w:jc w:val="left"/>
            </w:pPr>
            <w:r>
              <w:rPr>
                <w:rFonts w:ascii="Cambria" w:hAnsi="Cambria" w:cs="Cambria" w:eastAsia="Cambria"/>
                <w:sz w:val="19"/>
              </w:rPr>
              <w:t>Hospital admissions (psychiatric wards)</w:t>
            </w:r>
          </w:p>
        </w:tc>
        <w:tc>
          <w:tcPr>
            <w:tcW w:type="dxa" w:w="3009"/>
          </w:tcPr>
          <w:p>
            <w:pPr>
              <w:spacing w:after="40" w:before="40"/>
              <w:jc w:val="left"/>
            </w:pPr>
            <w:r>
              <w:rPr>
                <w:rFonts w:ascii="Cambria" w:hAnsi="Cambria" w:cs="Cambria" w:eastAsia="Cambria"/>
                <w:sz w:val="19"/>
              </w:rPr>
              <w:t>11.2</w:t>
            </w:r>
          </w:p>
        </w:tc>
        <w:tc>
          <w:tcPr>
            <w:tcW w:type="dxa" w:w="3009"/>
          </w:tcPr>
          <w:p>
            <w:pPr>
              <w:spacing w:after="40" w:before="40"/>
              <w:jc w:val="left"/>
            </w:pPr>
            <w:r>
              <w:rPr>
                <w:rFonts w:ascii="Cambria" w:hAnsi="Cambria" w:cs="Cambria" w:eastAsia="Cambria"/>
                <w:sz w:val="19"/>
              </w:rPr>
              <w:t>3.9%</w:t>
            </w:r>
          </w:p>
        </w:tc>
      </w:tr>
      <w:tr>
        <w:tc>
          <w:tcPr>
            <w:tcW w:type="dxa" w:w="3009"/>
          </w:tcPr>
          <w:p>
            <w:pPr>
              <w:spacing w:after="40" w:before="40"/>
              <w:jc w:val="left"/>
            </w:pPr>
            <w:r>
              <w:rPr>
                <w:rFonts w:ascii="Cambria" w:hAnsi="Cambria" w:cs="Cambria" w:eastAsia="Cambria"/>
                <w:sz w:val="19"/>
              </w:rPr>
              <w:t>Total</w:t>
            </w:r>
          </w:p>
        </w:tc>
        <w:tc>
          <w:tcPr>
            <w:tcW w:type="dxa" w:w="3009"/>
          </w:tcPr>
          <w:p>
            <w:pPr>
              <w:spacing w:after="40" w:before="40"/>
              <w:jc w:val="left"/>
            </w:pPr>
            <w:r>
              <w:rPr>
                <w:rFonts w:ascii="Cambria" w:hAnsi="Cambria" w:cs="Cambria" w:eastAsia="Cambria"/>
                <w:sz w:val="19"/>
              </w:rPr>
              <w:t>≈285.0</w:t>
            </w:r>
          </w:p>
        </w:tc>
        <w:tc>
          <w:tcPr>
            <w:tcW w:type="dxa" w:w="3009"/>
          </w:tcPr>
          <w:p>
            <w:pPr>
              <w:spacing w:after="40" w:before="40"/>
              <w:jc w:val="left"/>
            </w:pPr>
            <w:r>
              <w:rPr>
                <w:rFonts w:ascii="Cambria" w:hAnsi="Cambria" w:cs="Cambria" w:eastAsia="Cambria"/>
                <w:sz w:val="19"/>
              </w:rPr>
              <w:t>100%</w:t>
            </w:r>
          </w:p>
        </w:tc>
      </w:tr>
    </w:tbl>
    <w:p/>
    <w:p>
      <w:pPr>
        <w:pStyle w:val="Heading3"/>
      </w:pPr>
      <w:r>
        <w:rPr>
          <w:rFonts w:ascii="Cambria" w:hAnsi="Cambria" w:cs="Cambria" w:eastAsia="Cambria"/>
        </w:rPr>
        <w:t>2.2.4. The hidden epidemiological burden and the treatment gap</w:t>
      </w:r>
    </w:p>
    <w:p>
      <w:r>
        <w:rPr>
          <w:rFonts w:ascii="Cambria" w:hAnsi="Cambria" w:cs="Cambria" w:eastAsia="Cambria"/>
        </w:rPr>
        <w:t>Data on the use of specialist services represent only the visible tip of the iceberg. The PASSI surveillance system reports that 3.6% of Apulian adults present clinically relevant depressive symptoms, a figure paradoxically lower than the national average of 6.7% and plausibly under-estimated owing to cultural factors. International evidence suggests annual prevalence rates of 15-30%.</w:t>
      </w:r>
    </w:p>
    <w:p>
      <w:r>
        <w:rPr>
          <w:rFonts w:ascii="Cambria" w:hAnsi="Cambria" w:cs="Cambria" w:eastAsia="Cambria"/>
        </w:rPr>
        <w:t>Conservatively applying the 20-30% range to the Apulian adult population (approximately 3.9 million), it is estimated that 780,000-1,160,000 Apulians experience some form of clinically significant distress over the course of a year. Comparing this with the 54,946 users in care with the Departments of Mental Health reveals a treatment gap of 90-95%, reflecting the absence of accessible first-level services for mild-to-moderate disorders.</w:t>
      </w:r>
    </w:p>
    <w:p>
      <w:pPr>
        <w:pStyle w:val="Heading2"/>
      </w:pPr>
      <w:r>
        <w:rPr>
          <w:rFonts w:ascii="Cambria" w:hAnsi="Cambria" w:cs="Cambria" w:eastAsia="Cambria"/>
        </w:rPr>
        <w:t>2.3. Socioeconomic determinants of mental health</w:t>
      </w:r>
    </w:p>
    <w:p>
      <w:pPr>
        <w:pStyle w:val="Heading3"/>
      </w:pPr>
      <w:r>
        <w:rPr>
          <w:rFonts w:ascii="Cambria" w:hAnsi="Cambria" w:cs="Cambria" w:eastAsia="Cambria"/>
        </w:rPr>
        <w:t>2.3.1. Poverty, deprivation and social exclusion</w:t>
      </w:r>
    </w:p>
    <w:p>
      <w:r>
        <w:rPr>
          <w:rFonts w:ascii="Cambria" w:hAnsi="Cambria" w:cs="Cambria" w:eastAsia="Cambria"/>
        </w:rPr>
        <w:t>According to 2024 ISTAT data, Apulia presents an AROPE indicator of 37.7% (approximately 1,460,000 individuals at risk of poverty or social exclusion), the fourth-highest figure in Italy after Calabria, Campania and Sicily, and dramatically above the national average of 23.1%</w:t>
      </w:r>
      <w:r>
        <w:rPr>
          <w:rStyle w:val="FootnoteReference"/>
        </w:rPr>
        <w:footnoteReference w:id="19"/>
      </w:r>
      <w:r>
        <w:rPr>
          <w:rFonts w:ascii="Cambria" w:hAnsi="Cambria" w:cs="Cambria" w:eastAsia="Cambria"/>
        </w:rPr>
        <w:t>. The figure represents a worsening of 5.5 percentage points compared with 32.2% in 2023.</w:t>
      </w:r>
    </w:p>
    <w:p>
      <w:r>
        <w:rPr>
          <w:rFonts w:ascii="Cambria" w:hAnsi="Cambria" w:cs="Cambria" w:eastAsia="Cambria"/>
        </w:rPr>
        <w:t>Absolute poverty affects 24.3% of Apulian households (the third-highest figure nationally), severe material deprivation affects 10% of the population (against 4.7% nationally), and in-work poverty affects 10.3% of employed persons. These indicators constitute a substrate of vulnerability that amplifies the risk of mental disorders through direct and indirect causal mechanisms.</w:t>
      </w:r>
    </w:p>
    <w:p>
      <w:pPr>
        <w:pStyle w:val="Heading3"/>
      </w:pPr>
      <w:r>
        <w:rPr>
          <w:rFonts w:ascii="Cambria" w:hAnsi="Cambria" w:cs="Cambria" w:eastAsia="Cambria"/>
        </w:rPr>
        <w:t>2.3.2. Unemployment, precarious employment and NEET status</w:t>
      </w:r>
    </w:p>
    <w:p>
      <w:r>
        <w:rPr>
          <w:rFonts w:ascii="Cambria" w:hAnsi="Cambria" w:cs="Cambria" w:eastAsia="Cambria"/>
        </w:rPr>
        <w:t>The Apulian unemployment rate stood at 9.3% in 2024, above the national average of 7.1%. Approximately 140,000 Apulians are unemployed, with the province of Foggia at 16%</w:t>
      </w:r>
      <w:r>
        <w:rPr>
          <w:rStyle w:val="FootnoteReference"/>
        </w:rPr>
        <w:footnoteReference w:id="20"/>
      </w:r>
      <w:r>
        <w:rPr>
          <w:rFonts w:ascii="Cambria" w:hAnsi="Cambria" w:cs="Cambria" w:eastAsia="Cambria"/>
        </w:rPr>
        <w:t>. Youth unemployment (15-24 years) stands at 32%. NEET status affects 21.4% of young people aged 15-29 (approximately 125,000 individuals), with marked gender disparities (26.5% for women versus 16.9% for men in the 25-29 age bracket).</w:t>
      </w:r>
    </w:p>
    <w:p>
      <w:pPr>
        <w:pStyle w:val="Heading3"/>
      </w:pPr>
      <w:r>
        <w:rPr>
          <w:rFonts w:ascii="Cambria" w:hAnsi="Cambria" w:cs="Cambria" w:eastAsia="Cambria"/>
        </w:rPr>
        <w:t>2.3.3. Evidence on the causal link between socioeconomic determinants and mental health</w:t>
      </w:r>
    </w:p>
    <w:p>
      <w:r>
        <w:rPr>
          <w:rFonts w:ascii="Cambria" w:hAnsi="Cambria" w:cs="Cambria" w:eastAsia="Cambria"/>
        </w:rPr>
        <w:t>The relationship between deprivation and mental disorders is bidirectional (social causation and social drift). A longitudinal study in the European Journal of Public Health documented that every 1% increase in the unemployment rate is associated with a significant increase in depressive symptoms</w:t>
      </w:r>
      <w:r>
        <w:rPr>
          <w:rStyle w:val="FootnoteReference"/>
        </w:rPr>
        <w:footnoteReference w:id="21"/>
      </w:r>
      <w:r>
        <w:rPr>
          <w:rFonts w:ascii="Cambria" w:hAnsi="Cambria" w:cs="Cambria" w:eastAsia="Cambria"/>
        </w:rPr>
        <w:t>. Long-term unemployment is associated with a 2-4-fold greater risk of major depression; NEET status with incidence rates of 35% at five years, with a persistent scarring effect.</w:t>
      </w:r>
    </w:p>
    <w:p>
      <w:r>
        <w:rPr>
          <w:rFonts w:ascii="Cambria" w:hAnsi="Cambria" w:cs="Cambria" w:eastAsia="Cambria"/>
        </w:rPr>
        <w:t>The WHO Report on the Social Determinants of Mental Health (2014) identified nine core social factors — unemployment, poverty, housing deprivation, low educational attainment, discrimination, violence, lack of social cohesion, food insecurity, and disasters — whose simultaneous presence constitutes conditions of extreme vulnerability with multiplicative effects.</w:t>
      </w:r>
    </w:p>
    <w:p>
      <w:pPr>
        <w:pStyle w:val="Heading3"/>
      </w:pPr>
      <w:r>
        <w:rPr>
          <w:rFonts w:ascii="Cambria" w:hAnsi="Cambria" w:cs="Cambria" w:eastAsia="Cambria"/>
        </w:rPr>
        <w:t>2.3.4. Population attributable risk in the Apulian context</w:t>
      </w:r>
    </w:p>
    <w:p>
      <w:r>
        <w:rPr>
          <w:rFonts w:ascii="Cambria" w:hAnsi="Cambria" w:cs="Cambria" w:eastAsia="Cambria"/>
        </w:rPr>
        <w:t>Applying the population attributable risk (PAR) formula with an exposure prevalence of Pe=0.377 and a relative risk of RR=2.3 yields a PAR of 32.7%: approximately one third of the overall burden of common mental disorders is attributable to socioeconomic deprivation and is potentially preventable</w:t>
      </w:r>
      <w:r>
        <w:rPr>
          <w:rStyle w:val="FootnoteReference"/>
        </w:rPr>
        <w:footnoteReference w:id="22"/>
      </w:r>
      <w:r>
        <w:rPr>
          <w:rFonts w:ascii="Cambria" w:hAnsi="Cambria" w:cs="Cambria" w:eastAsia="Cambria"/>
        </w:rPr>
        <w:t>. Between 35,000 and 56,000 unemployed Apulians present common mental disorders; approximately 45,000 young NEETs will develop mental disorders over the next five years in the absence of preventive interventions.</w:t>
      </w:r>
    </w:p>
    <w:p>
      <w:pPr>
        <w:pStyle w:val="Heading2"/>
      </w:pPr>
      <w:r>
        <w:rPr>
          <w:rFonts w:ascii="Cambria" w:hAnsi="Cambria" w:cs="Cambria" w:eastAsia="Cambria"/>
        </w:rPr>
        <w:t>2.4. The regional health system and investment in mental health</w:t>
      </w:r>
    </w:p>
    <w:p>
      <w:pPr>
        <w:pStyle w:val="Heading3"/>
      </w:pPr>
      <w:r>
        <w:rPr>
          <w:rFonts w:ascii="Cambria" w:hAnsi="Cambria" w:cs="Cambria" w:eastAsia="Cambria"/>
        </w:rPr>
        <w:t>2.4.1. Apulian public health expenditure and budget constraints</w:t>
      </w:r>
    </w:p>
    <w:p>
      <w:r>
        <w:rPr>
          <w:rFonts w:ascii="Cambria" w:hAnsi="Cambria" w:cs="Cambria" w:eastAsia="Cambria"/>
        </w:rPr>
        <w:t>Apulian public health expenditure stands at around €8.5-8.6 billion per year, with per capita expenditure of approximately €1,798, 3.6% below the national average</w:t>
      </w:r>
      <w:r>
        <w:rPr>
          <w:rStyle w:val="FootnoteReference"/>
        </w:rPr>
        <w:footnoteReference w:id="23"/>
      </w:r>
      <w:r>
        <w:rPr>
          <w:rFonts w:ascii="Cambria" w:hAnsi="Cambria" w:cs="Cambria" w:eastAsia="Cambria"/>
        </w:rPr>
        <w:t>. 2024 saw the emergence of a health deficit that grew from €81 million to more than €400 million, mainly due to overruns in pharmaceutical expenditure and cross-regional patient mobility. These constraints create a context in which any new line of intervention must demonstrate financial sustainability and the capacity to generate savings.</w:t>
      </w:r>
    </w:p>
    <w:p>
      <w:pPr>
        <w:pStyle w:val="Heading3"/>
      </w:pPr>
      <w:r>
        <w:rPr>
          <w:rFonts w:ascii="Cambria" w:hAnsi="Cambria" w:cs="Cambria" w:eastAsia="Cambria"/>
        </w:rPr>
        <w:t>2.4.2. Allocation to mental health: comparison with standards</w:t>
      </w:r>
    </w:p>
    <w:p>
      <w:r>
        <w:rPr>
          <w:rFonts w:ascii="Cambria" w:hAnsi="Cambria" w:cs="Cambria" w:eastAsia="Cambria"/>
        </w:rPr>
        <w:t>Apulian expenditure on mental health (approximately €285 million) represents 3.3% of total expenditure, against the WHO standard of 5% and the European average of 5-6%. The gap corresponds to €142-229 million per year of under-investment. The consequences include understaffing, waiting lists of 6-12 months, a shortage of early-intervention programmes, and under-utilisation of evidence-based psychological interventions, with psychologists accounting for only 9.4% of Department of Mental Health staff.</w:t>
      </w:r>
    </w:p>
    <w:p>
      <w:pPr>
        <w:pStyle w:val="Heading3"/>
      </w:pPr>
      <w:r>
        <w:rPr>
          <w:rFonts w:ascii="Cambria" w:hAnsi="Cambria" w:cs="Cambria" w:eastAsia="Cambria"/>
        </w:rPr>
        <w:t>2.4.3. International comparison: integration models as a sustainable response</w:t>
      </w:r>
    </w:p>
    <w:p>
      <w:r>
        <w:rPr>
          <w:rFonts w:ascii="Cambria" w:hAnsi="Cambria" w:cs="Cambria" w:eastAsia="Cambria"/>
        </w:rPr>
        <w:t xml:space="preserve">The British IAPT programme, in 2023-2024, treated more than 1.3 million people with </w:t>
      </w:r>
      <w:r>
        <w:rPr>
          <w:rFonts w:ascii="Cambria" w:hAnsi="Cambria" w:cs="Cambria" w:eastAsia="Cambria"/>
          <w:i/>
        </w:rPr>
        <w:t>recovery rate</w:t>
      </w:r>
      <w:r>
        <w:rPr>
          <w:rFonts w:ascii="Cambria" w:hAnsi="Cambria" w:cs="Cambria" w:eastAsia="Cambria"/>
        </w:rPr>
        <w:t>s of 51% and reliable improvement rates of 67%, median waiting times of two weeks, and savings of £400-800 per patient/year</w:t>
      </w:r>
      <w:r>
        <w:rPr>
          <w:rStyle w:val="FootnoteReference"/>
        </w:rPr>
        <w:footnoteReference w:id="24"/>
      </w:r>
      <w:r>
        <w:rPr>
          <w:rFonts w:ascii="Cambria" w:hAnsi="Cambria" w:cs="Cambria" w:eastAsia="Cambria"/>
        </w:rPr>
        <w:t xml:space="preserve">. The Dutch POH-GGZ model integrates psychologists within general practices with near-universal coverage, reductions of 20-30% in inappropriate prescriptions and of 30-40% in referrals to specialist services. The American </w:t>
      </w:r>
      <w:r>
        <w:rPr>
          <w:rFonts w:ascii="Cambria" w:hAnsi="Cambria" w:cs="Cambria" w:eastAsia="Cambria"/>
          <w:i/>
        </w:rPr>
        <w:t>Collaborative Care</w:t>
      </w:r>
      <w:r>
        <w:rPr>
          <w:rFonts w:ascii="Cambria" w:hAnsi="Cambria" w:cs="Cambria" w:eastAsia="Cambria"/>
        </w:rPr>
        <w:t xml:space="preserve"> Model documents an average effect size of 0.28 and verified cost-effectiveness.</w:t>
      </w:r>
    </w:p>
    <w:p>
      <w:r>
        <w:rPr>
          <w:rFonts w:ascii="Cambria" w:hAnsi="Cambria" w:cs="Cambria" w:eastAsia="Cambria"/>
        </w:rPr>
        <w:t>Tab. 2.3 — Psychologist staffing per 100,000 inhabitants: international comparison</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Country / context</w:t>
            </w:r>
          </w:p>
        </w:tc>
        <w:tc>
          <w:tcPr>
            <w:tcW w:type="dxa" w:w="3009"/>
            <w:shd w:val="clear" w:color="auto" w:fill="16264B"/>
          </w:tcPr>
          <w:p>
            <w:pPr>
              <w:spacing w:after="40" w:before="40"/>
              <w:jc w:val="left"/>
            </w:pPr>
            <w:r>
              <w:rPr>
                <w:rFonts w:ascii="Cambria" w:hAnsi="Cambria" w:cs="Cambria" w:eastAsia="Cambria"/>
                <w:b/>
                <w:color w:val="FFFFFF"/>
                <w:sz w:val="19"/>
              </w:rPr>
              <w:t>Psychologists/100,000</w:t>
            </w:r>
          </w:p>
        </w:tc>
        <w:tc>
          <w:tcPr>
            <w:tcW w:type="dxa" w:w="3009"/>
            <w:shd w:val="clear" w:color="auto" w:fill="16264B"/>
          </w:tcPr>
          <w:p>
            <w:pPr>
              <w:spacing w:after="40" w:before="40"/>
              <w:jc w:val="left"/>
            </w:pPr>
            <w:r>
              <w:rPr>
                <w:rFonts w:ascii="Cambria" w:hAnsi="Cambria" w:cs="Cambria" w:eastAsia="Cambria"/>
                <w:b/>
                <w:color w:val="FFFFFF"/>
                <w:sz w:val="19"/>
              </w:rPr>
              <w:t>Notes</w:t>
            </w:r>
          </w:p>
        </w:tc>
      </w:tr>
      <w:tr>
        <w:tc>
          <w:tcPr>
            <w:tcW w:type="dxa" w:w="3009"/>
          </w:tcPr>
          <w:p>
            <w:pPr>
              <w:spacing w:after="40" w:before="40"/>
              <w:jc w:val="left"/>
            </w:pPr>
            <w:r>
              <w:rPr>
                <w:rFonts w:ascii="Cambria" w:hAnsi="Cambria" w:cs="Cambria" w:eastAsia="Cambria"/>
                <w:sz w:val="19"/>
              </w:rPr>
              <w:t>Apulia (public Mental Health Depts.)</w:t>
            </w:r>
          </w:p>
        </w:tc>
        <w:tc>
          <w:tcPr>
            <w:tcW w:type="dxa" w:w="3009"/>
          </w:tcPr>
          <w:p>
            <w:pPr>
              <w:spacing w:after="40" w:before="40"/>
              <w:jc w:val="left"/>
            </w:pPr>
            <w:r>
              <w:rPr>
                <w:rFonts w:ascii="Cambria" w:hAnsi="Cambria" w:cs="Cambria" w:eastAsia="Cambria"/>
                <w:sz w:val="19"/>
              </w:rPr>
              <w:t>4.4</w:t>
            </w:r>
          </w:p>
        </w:tc>
        <w:tc>
          <w:tcPr>
            <w:tcW w:type="dxa" w:w="3009"/>
          </w:tcPr>
          <w:p>
            <w:pPr>
              <w:spacing w:after="40" w:before="40"/>
              <w:jc w:val="left"/>
            </w:pPr>
            <w:r>
              <w:rPr>
                <w:rFonts w:ascii="Cambria" w:hAnsi="Cambria" w:cs="Cambria" w:eastAsia="Cambria"/>
                <w:sz w:val="19"/>
              </w:rPr>
              <w:t>170 psychologists / 3.9 mln inhabitants</w:t>
            </w:r>
          </w:p>
        </w:tc>
      </w:tr>
      <w:tr>
        <w:tc>
          <w:tcPr>
            <w:tcW w:type="dxa" w:w="3009"/>
          </w:tcPr>
          <w:p>
            <w:pPr>
              <w:spacing w:after="40" w:before="40"/>
              <w:jc w:val="left"/>
            </w:pPr>
            <w:r>
              <w:rPr>
                <w:rFonts w:ascii="Cambria" w:hAnsi="Cambria" w:cs="Cambria" w:eastAsia="Cambria"/>
                <w:sz w:val="19"/>
              </w:rPr>
              <w:t>Italy (National Health Service overall)</w:t>
            </w:r>
          </w:p>
        </w:tc>
        <w:tc>
          <w:tcPr>
            <w:tcW w:type="dxa" w:w="3009"/>
          </w:tcPr>
          <w:p>
            <w:pPr>
              <w:spacing w:after="40" w:before="40"/>
              <w:jc w:val="left"/>
            </w:pPr>
            <w:r>
              <w:rPr>
                <w:rFonts w:ascii="Cambria" w:hAnsi="Cambria" w:cs="Cambria" w:eastAsia="Cambria"/>
                <w:sz w:val="19"/>
              </w:rPr>
              <w:t>8.5</w:t>
            </w:r>
          </w:p>
        </w:tc>
        <w:tc>
          <w:tcPr>
            <w:tcW w:type="dxa" w:w="3009"/>
          </w:tcPr>
          <w:p>
            <w:pPr>
              <w:spacing w:after="40" w:before="40"/>
              <w:jc w:val="left"/>
            </w:pPr>
            <w:r>
              <w:rPr>
                <w:rFonts w:ascii="Cambria" w:hAnsi="Cambria" w:cs="Cambria" w:eastAsia="Cambria"/>
                <w:sz w:val="19"/>
              </w:rPr>
              <w:t>Ministry of Health figure, 2017</w:t>
            </w:r>
          </w:p>
        </w:tc>
      </w:tr>
      <w:tr>
        <w:tc>
          <w:tcPr>
            <w:tcW w:type="dxa" w:w="3009"/>
          </w:tcPr>
          <w:p>
            <w:pPr>
              <w:spacing w:after="40" w:before="40"/>
              <w:jc w:val="left"/>
            </w:pPr>
            <w:r>
              <w:rPr>
                <w:rFonts w:ascii="Cambria" w:hAnsi="Cambria" w:cs="Cambria" w:eastAsia="Cambria"/>
                <w:sz w:val="19"/>
              </w:rPr>
              <w:t>European minimum standard</w:t>
            </w:r>
          </w:p>
        </w:tc>
        <w:tc>
          <w:tcPr>
            <w:tcW w:type="dxa" w:w="3009"/>
          </w:tcPr>
          <w:p>
            <w:pPr>
              <w:spacing w:after="40" w:before="40"/>
              <w:jc w:val="left"/>
            </w:pPr>
            <w:r>
              <w:rPr>
                <w:rFonts w:ascii="Cambria" w:hAnsi="Cambria" w:cs="Cambria" w:eastAsia="Cambria"/>
                <w:sz w:val="19"/>
              </w:rPr>
              <w:t>10</w:t>
            </w:r>
          </w:p>
        </w:tc>
        <w:tc>
          <w:tcPr>
            <w:tcW w:type="dxa" w:w="3009"/>
          </w:tcPr>
          <w:p>
            <w:pPr>
              <w:spacing w:after="40" w:before="40"/>
              <w:jc w:val="left"/>
            </w:pPr>
            <w:r>
              <w:rPr>
                <w:rFonts w:ascii="Cambria" w:hAnsi="Cambria" w:cs="Cambria" w:eastAsia="Cambria"/>
                <w:sz w:val="19"/>
              </w:rPr>
              <w:t>acceptable threshold</w:t>
            </w:r>
          </w:p>
        </w:tc>
      </w:tr>
      <w:tr>
        <w:tc>
          <w:tcPr>
            <w:tcW w:type="dxa" w:w="3009"/>
          </w:tcPr>
          <w:p>
            <w:pPr>
              <w:spacing w:after="40" w:before="40"/>
              <w:jc w:val="left"/>
            </w:pPr>
            <w:r>
              <w:rPr>
                <w:rFonts w:ascii="Cambria" w:hAnsi="Cambria" w:cs="Cambria" w:eastAsia="Cambria"/>
                <w:sz w:val="19"/>
              </w:rPr>
              <w:t>European optimal standard</w:t>
            </w:r>
          </w:p>
        </w:tc>
        <w:tc>
          <w:tcPr>
            <w:tcW w:type="dxa" w:w="3009"/>
          </w:tcPr>
          <w:p>
            <w:pPr>
              <w:spacing w:after="40" w:before="40"/>
              <w:jc w:val="left"/>
            </w:pPr>
            <w:r>
              <w:rPr>
                <w:rFonts w:ascii="Cambria" w:hAnsi="Cambria" w:cs="Cambria" w:eastAsia="Cambria"/>
                <w:sz w:val="19"/>
              </w:rPr>
              <w:t>18</w:t>
            </w:r>
          </w:p>
        </w:tc>
        <w:tc>
          <w:tcPr>
            <w:tcW w:type="dxa" w:w="3009"/>
          </w:tcPr>
          <w:p>
            <w:pPr>
              <w:spacing w:after="40" w:before="40"/>
              <w:jc w:val="left"/>
            </w:pPr>
            <w:r>
              <w:rPr>
                <w:rFonts w:ascii="Cambria" w:hAnsi="Cambria" w:cs="Cambria" w:eastAsia="Cambria"/>
                <w:sz w:val="19"/>
              </w:rPr>
              <w:t>recommended</w:t>
            </w:r>
          </w:p>
        </w:tc>
      </w:tr>
      <w:tr>
        <w:tc>
          <w:tcPr>
            <w:tcW w:type="dxa" w:w="3009"/>
          </w:tcPr>
          <w:p>
            <w:pPr>
              <w:spacing w:after="40" w:before="40"/>
              <w:jc w:val="left"/>
            </w:pPr>
            <w:r>
              <w:rPr>
                <w:rFonts w:ascii="Cambria" w:hAnsi="Cambria" w:cs="Cambria" w:eastAsia="Cambria"/>
                <w:sz w:val="19"/>
              </w:rPr>
              <w:t>France / Canada</w:t>
            </w:r>
          </w:p>
        </w:tc>
        <w:tc>
          <w:tcPr>
            <w:tcW w:type="dxa" w:w="3009"/>
          </w:tcPr>
          <w:p>
            <w:pPr>
              <w:spacing w:after="40" w:before="40"/>
              <w:jc w:val="left"/>
            </w:pPr>
            <w:r>
              <w:rPr>
                <w:rFonts w:ascii="Cambria" w:hAnsi="Cambria" w:cs="Cambria" w:eastAsia="Cambria"/>
                <w:sz w:val="19"/>
              </w:rPr>
              <w:t>&gt;45</w:t>
            </w:r>
          </w:p>
        </w:tc>
        <w:tc>
          <w:tcPr>
            <w:tcW w:type="dxa" w:w="3009"/>
          </w:tcPr>
          <w:p>
            <w:pPr>
              <w:spacing w:after="40" w:before="40"/>
              <w:jc w:val="left"/>
            </w:pPr>
            <w:r>
              <w:rPr>
                <w:rFonts w:ascii="Cambria" w:hAnsi="Cambria" w:cs="Cambria" w:eastAsia="Cambria"/>
                <w:sz w:val="19"/>
              </w:rPr>
              <w:t>public mental health sector</w:t>
            </w:r>
          </w:p>
        </w:tc>
      </w:tr>
    </w:tbl>
    <w:p/>
    <w:p>
      <w:pPr>
        <w:pStyle w:val="Heading2"/>
      </w:pPr>
      <w:r>
        <w:rPr>
          <w:rFonts w:ascii="Cambria" w:hAnsi="Cambria" w:cs="Cambria" w:eastAsia="Cambria"/>
        </w:rPr>
        <w:t>2.5. Summary of the evidence-based rationale</w:t>
      </w:r>
    </w:p>
    <w:p>
      <w:r>
        <w:rPr>
          <w:rFonts w:ascii="Cambria" w:hAnsi="Cambria" w:cs="Cambria" w:eastAsia="Cambria"/>
        </w:rPr>
        <w:t>The multidimensional analysis documents the convergence of multiple structural factors that constitute a picture of growing need, chronic systemic under-response, and an urgent need to restructure the care model. The demographic transition, the epidemiological burden with a treatment gap of 90-95%, socioeconomic determinants with an attributable risk of 30-40%, structural under-investment, and a workforce shortfall of 5-10 times relative to advanced standards together constitute a robust and incontrovertible rationale.</w:t>
      </w:r>
    </w:p>
    <w:p>
      <w:r>
        <w:rPr>
          <w:rFonts w:ascii="Cambria" w:hAnsi="Cambria" w:cs="Cambria" w:eastAsia="Cambria"/>
        </w:rPr>
        <w:t xml:space="preserve">Converging international evidence — IAPT, POH-GGZ, </w:t>
      </w:r>
      <w:r>
        <w:rPr>
          <w:rFonts w:ascii="Cambria" w:hAnsi="Cambria" w:cs="Cambria" w:eastAsia="Cambria"/>
          <w:i/>
        </w:rPr>
        <w:t>Better Access</w:t>
      </w:r>
      <w:r>
        <w:rPr>
          <w:rFonts w:ascii="Cambria" w:hAnsi="Cambria" w:cs="Cambria" w:eastAsia="Cambria"/>
        </w:rPr>
        <w:t xml:space="preserve">, the </w:t>
      </w:r>
      <w:r>
        <w:rPr>
          <w:rFonts w:ascii="Cambria" w:hAnsi="Cambria" w:cs="Cambria" w:eastAsia="Cambria"/>
          <w:i/>
        </w:rPr>
        <w:t>Collaborative Care</w:t>
      </w:r>
      <w:r>
        <w:rPr>
          <w:rFonts w:ascii="Cambria" w:hAnsi="Cambria" w:cs="Cambria" w:eastAsia="Cambria"/>
        </w:rPr>
        <w:t xml:space="preserve"> Model — demonstrates that integrating psychologists into primary care through </w:t>
      </w:r>
      <w:r>
        <w:rPr>
          <w:rFonts w:ascii="Cambria" w:hAnsi="Cambria" w:cs="Cambria" w:eastAsia="Cambria"/>
          <w:i/>
        </w:rPr>
        <w:t>stepped-care</w:t>
      </w:r>
      <w:r>
        <w:rPr>
          <w:rFonts w:ascii="Cambria" w:hAnsi="Cambria" w:cs="Cambria" w:eastAsia="Cambria"/>
        </w:rPr>
        <w:t xml:space="preserve"> models represents an effective, clinically validated, cost-effective and sustainable systemic response. The establishment of the Service is configured not as an unsustainable additional cost, but as a strategic restructuring oriented towards long-term sustainability, clinical appropriateness, equity of access and secondary prevention.</w:t>
      </w:r>
    </w:p>
    <w:p>
      <w:pPr>
        <w:pStyle w:val="Heading1"/>
      </w:pPr>
      <w:r>
        <w:rPr>
          <w:rFonts w:ascii="Cambria" w:hAnsi="Cambria" w:cs="Cambria" w:eastAsia="Cambria"/>
        </w:rPr>
        <w:t>CHAPTER III — DESCRIPTION OF THE INTERVENTION: ORGANISATIONAL MODEL</w:t>
      </w:r>
    </w:p>
    <w:p>
      <w:pPr>
        <w:pStyle w:val="Heading2"/>
      </w:pPr>
      <w:r>
        <w:rPr>
          <w:rFonts w:ascii="Cambria" w:hAnsi="Cambria" w:cs="Cambria" w:eastAsia="Cambria"/>
        </w:rPr>
        <w:t>Chapter foreword</w:t>
      </w:r>
    </w:p>
    <w:p>
      <w:r>
        <w:rPr>
          <w:rFonts w:ascii="Cambria" w:hAnsi="Cambria" w:cs="Cambria" w:eastAsia="Cambria"/>
        </w:rPr>
        <w:t>Chapter III translates the scientific rationale into a concrete, implementable and evaluable organisational architecture. It describes the purpose and objectives of the institution, the multilevel governance model, the five local organisational models, and the criteria for sizing staffing levels, integrating the best international evidence with the specific features of the Apulian context.</w:t>
      </w:r>
    </w:p>
    <w:p>
      <w:pPr>
        <w:pStyle w:val="Heading2"/>
      </w:pPr>
      <w:r>
        <w:rPr>
          <w:rFonts w:ascii="Cambria" w:hAnsi="Cambria" w:cs="Cambria" w:eastAsia="Cambria"/>
        </w:rPr>
        <w:t>3.1. Purpose and specific objectives of the institution</w:t>
      </w:r>
    </w:p>
    <w:p>
      <w:r>
        <w:rPr>
          <w:rFonts w:ascii="Cambria" w:hAnsi="Cambria" w:cs="Cambria" w:eastAsia="Cambria"/>
        </w:rPr>
        <w:t xml:space="preserve">The object of the intervention is the establishment, within the Apulian Regional Health Service, of a </w:t>
      </w:r>
      <w:r>
        <w:rPr>
          <w:rFonts w:ascii="Cambria" w:hAnsi="Cambria" w:cs="Cambria" w:eastAsia="Cambria"/>
          <w:i/>
        </w:rPr>
        <w:t>Primary Care Psychology</w:t>
      </w:r>
      <w:r>
        <w:rPr>
          <w:rFonts w:ascii="Cambria" w:hAnsi="Cambria" w:cs="Cambria" w:eastAsia="Cambria"/>
        </w:rPr>
        <w:t xml:space="preserve"> Service as a structural, permanent and systematic component of territorial primary care, operating at district level in line with Ministerial Decree 77/2022 and Mission 6 of the PNRR</w:t>
      </w:r>
      <w:r>
        <w:rPr>
          <w:rStyle w:val="FootnoteReference"/>
        </w:rPr>
        <w:footnoteReference w:id="25"/>
      </w:r>
      <w:r>
        <w:rPr>
          <w:rFonts w:ascii="Cambria" w:hAnsi="Cambria" w:cs="Cambria" w:eastAsia="Cambria"/>
        </w:rPr>
        <w:t>. The intervention constitutes a paradigmatic transformation of the care architecture, introducing the psychologist as the reference professional for community mental health, in integration with GPs, primary care paediatricians, family nurses and social workers.</w:t>
      </w:r>
    </w:p>
    <w:p>
      <w:pPr>
        <w:pStyle w:val="Heading3"/>
      </w:pPr>
      <w:r>
        <w:rPr>
          <w:rFonts w:ascii="Cambria" w:hAnsi="Cambria" w:cs="Cambria" w:eastAsia="Cambria"/>
        </w:rPr>
        <w:t>3.1.1. Evidence-based primary and secondary prevention</w:t>
      </w:r>
    </w:p>
    <w:p>
      <w:r>
        <w:rPr>
          <w:rFonts w:ascii="Cambria" w:hAnsi="Cambria" w:cs="Cambria" w:eastAsia="Cambria"/>
        </w:rPr>
        <w:t>The meta-analysis by Archer and colleagues in PLOS ONE (2023), which examined 74 randomised controlled trials involving more than 20,000 participants, demonstrates significant improvements in depressive symptoms (standardised beta −0.11; 95% CI −0.20 to −0.01; p=0.03)</w:t>
      </w:r>
      <w:r>
        <w:rPr>
          <w:rStyle w:val="FootnoteReference"/>
        </w:rPr>
        <w:footnoteReference w:id="26"/>
      </w:r>
      <w:r>
        <w:rPr>
          <w:rFonts w:ascii="Cambria" w:hAnsi="Cambria" w:cs="Cambria" w:eastAsia="Cambria"/>
        </w:rPr>
        <w:t xml:space="preserve">. The IAPT/NHS Talking Therapies programme, with data to September 2024, treated more than 1.3 million people in 2023-2024, maintaining </w:t>
      </w:r>
      <w:r>
        <w:rPr>
          <w:rFonts w:ascii="Cambria" w:hAnsi="Cambria" w:cs="Cambria" w:eastAsia="Cambria"/>
          <w:i/>
        </w:rPr>
        <w:t>recovery rate</w:t>
      </w:r>
      <w:r>
        <w:rPr>
          <w:rFonts w:ascii="Cambria" w:hAnsi="Cambria" w:cs="Cambria" w:eastAsia="Cambria"/>
        </w:rPr>
        <w:t>s of 50.2% and clinically significant improvement of 67.8%, with monitoring-data completeness above 98% — an international gold standard.</w:t>
      </w:r>
    </w:p>
    <w:p>
      <w:r>
        <w:rPr>
          <w:rFonts w:ascii="Cambria" w:hAnsi="Cambria" w:cs="Cambria" w:eastAsia="Cambria"/>
        </w:rPr>
        <w:t xml:space="preserve">The model provides for a three-level </w:t>
      </w:r>
      <w:r>
        <w:rPr>
          <w:rFonts w:ascii="Cambria" w:hAnsi="Cambria" w:cs="Cambria" w:eastAsia="Cambria"/>
          <w:i/>
        </w:rPr>
        <w:t>stepped-care</w:t>
      </w:r>
      <w:r>
        <w:rPr>
          <w:rFonts w:ascii="Cambria" w:hAnsi="Cambria" w:cs="Cambria" w:eastAsia="Cambria"/>
        </w:rPr>
        <w:t xml:space="preserve"> system: low-intensity interventions (guided self-help, psychoeducational groups, digital interventions) delivered by practitioners with 6-12 months of training; high-intensity interventions (cognitive behavioural therapy, interpersonal therapy) delivered by qualified therapists; and referral to specialist services for non-responsive or complex cases. This system maximises allocative efficiency, avoiding both under-treatment and over-treatment.</w:t>
      </w:r>
    </w:p>
    <w:p>
      <w:pPr>
        <w:pStyle w:val="Heading3"/>
      </w:pPr>
      <w:r>
        <w:rPr>
          <w:rFonts w:ascii="Cambria" w:hAnsi="Cambria" w:cs="Cambria" w:eastAsia="Cambria"/>
        </w:rPr>
        <w:t>3.1.2. Clinical appropriateness and reduction of inappropriate access</w:t>
      </w:r>
    </w:p>
    <w:p>
      <w:r>
        <w:rPr>
          <w:rFonts w:ascii="Cambria" w:hAnsi="Cambria" w:cs="Cambria" w:eastAsia="Cambria"/>
        </w:rPr>
        <w:t>The Dutch POH-GGZ model, implemented since 2008, constitutes the most consolidated European reference. In 2024, 1,540,000 Dutch citizens received mental health care, with significant growth in uptake among those aged over 65</w:t>
      </w:r>
      <w:r>
        <w:rPr>
          <w:rStyle w:val="FootnoteReference"/>
        </w:rPr>
        <w:footnoteReference w:id="27"/>
      </w:r>
      <w:r>
        <w:rPr>
          <w:rFonts w:ascii="Cambria" w:hAnsi="Cambria" w:cs="Cambria" w:eastAsia="Cambria"/>
        </w:rPr>
        <w:t>. Approximately 87% of general practices have an integrated POH-GGZ. A study in BMC Primary Care (2024) of 31,873 individuals with depression documented reduced referrals to specialist services and better protocol adherence in contexts with greater POH-GGZ presence.</w:t>
      </w:r>
    </w:p>
    <w:p>
      <w:pPr>
        <w:pStyle w:val="Heading3"/>
      </w:pPr>
      <w:r>
        <w:rPr>
          <w:rFonts w:ascii="Cambria" w:hAnsi="Cambria" w:cs="Cambria" w:eastAsia="Cambria"/>
        </w:rPr>
        <w:t>3.1.3. Improved management of chronic conditions and psychosomatic integration</w:t>
      </w:r>
    </w:p>
    <w:p>
      <w:r>
        <w:rPr>
          <w:rFonts w:ascii="Cambria" w:hAnsi="Cambria" w:cs="Cambria" w:eastAsia="Cambria"/>
        </w:rPr>
        <w:t xml:space="preserve">The </w:t>
      </w:r>
      <w:r>
        <w:rPr>
          <w:rFonts w:ascii="Cambria" w:hAnsi="Cambria" w:cs="Cambria" w:eastAsia="Cambria"/>
          <w:i/>
        </w:rPr>
        <w:t>Collaborative Care</w:t>
      </w:r>
      <w:r>
        <w:rPr>
          <w:rFonts w:ascii="Cambria" w:hAnsi="Cambria" w:cs="Cambria" w:eastAsia="Cambria"/>
        </w:rPr>
        <w:t xml:space="preserve"> Model, validated through more than 90 randomised controlled trials, represents the reference paradigm for the management of chronic disease. A meta-analysis in the Cochrane Database (2024), which pooled 79 trials involving 24,308 participants, confirmed significant improvements in depression and anxiety outcomes compared with treatment-as-usual, with effects maintained up to two years of follow-up</w:t>
      </w:r>
      <w:r>
        <w:rPr>
          <w:rStyle w:val="FootnoteReference"/>
        </w:rPr>
        <w:footnoteReference w:id="28"/>
      </w:r>
      <w:r>
        <w:rPr>
          <w:rFonts w:ascii="Cambria" w:hAnsi="Cambria" w:cs="Cambria" w:eastAsia="Cambria"/>
        </w:rPr>
        <w:t xml:space="preserve"> (standardised mean difference −0.28; 95% CI −0.41 to −0.15). A meta-analysis in JAMA Network Open (2025) identified the therapeutic treatment strategy — manualised psychotherapy and family involvement — as the most effective component of the collaborative intervention.</w:t>
      </w:r>
    </w:p>
    <w:p>
      <w:pPr>
        <w:pStyle w:val="Heading3"/>
      </w:pPr>
      <w:r>
        <w:rPr>
          <w:rFonts w:ascii="Cambria" w:hAnsi="Cambria" w:cs="Cambria" w:eastAsia="Cambria"/>
        </w:rPr>
        <w:t>3.1.4. Demonstrated economic sustainability</w:t>
      </w:r>
    </w:p>
    <w:p>
      <w:r>
        <w:rPr>
          <w:rFonts w:ascii="Cambria" w:hAnsi="Cambria" w:cs="Cambria" w:eastAsia="Cambria"/>
        </w:rPr>
        <w:t>British analyses of the IAPT programme calculated an incremental cost-effectiveness ratio of £13,069 per QALY gained, with a 92% probability of cost-effectiveness at the NICE threshold of £30,000</w:t>
      </w:r>
      <w:r>
        <w:rPr>
          <w:rStyle w:val="FootnoteReference"/>
        </w:rPr>
        <w:footnoteReference w:id="29"/>
      </w:r>
      <w:r>
        <w:rPr>
          <w:rFonts w:ascii="Cambria" w:hAnsi="Cambria" w:cs="Cambria" w:eastAsia="Cambria"/>
        </w:rPr>
        <w:t xml:space="preserve">. The </w:t>
      </w:r>
      <w:r>
        <w:rPr>
          <w:rFonts w:ascii="Cambria" w:hAnsi="Cambria" w:cs="Cambria" w:eastAsia="Cambria"/>
          <w:i/>
        </w:rPr>
        <w:t>Collaborative Care</w:t>
      </w:r>
      <w:r>
        <w:rPr>
          <w:rFonts w:ascii="Cambria" w:hAnsi="Cambria" w:cs="Cambria" w:eastAsia="Cambria"/>
        </w:rPr>
        <w:t xml:space="preserve"> Model has demonstrated returns on investment that fall, according to the reference literature, within the prudential ranges adopted throughout this Study — 2.3 to 3.0 for economic benefits alone and 3.3 to 5.7 including health returns — achieved through the reduction of inappropriate use of high-intensity services, of inappropriate pharmacological prescriptions, and improved productivity.</w:t>
      </w:r>
    </w:p>
    <w:p>
      <w:r>
        <w:rPr>
          <w:rFonts w:ascii="Cambria" w:hAnsi="Cambria" w:cs="Cambria" w:eastAsia="Cambria"/>
        </w:rPr>
        <w:t>It is important to preserve the methodological caveat arising from the IMPACT trial: direct healthcare savings are not statistically significant in isolation</w:t>
      </w:r>
      <w:r>
        <w:rPr>
          <w:rStyle w:val="FootnoteReference"/>
        </w:rPr>
        <w:footnoteReference w:id="30"/>
      </w:r>
      <w:r>
        <w:rPr>
          <w:rFonts w:ascii="Cambria" w:hAnsi="Cambria" w:cs="Cambria" w:eastAsia="Cambria"/>
        </w:rPr>
        <w:t>, and must therefore always be interpreted together with clinical and social benefits, without aggregation into a single net figure.</w:t>
      </w:r>
    </w:p>
    <w:p>
      <w:pPr>
        <w:pStyle w:val="Heading2"/>
      </w:pPr>
      <w:r>
        <w:rPr>
          <w:rFonts w:ascii="Cambria" w:hAnsi="Cambria" w:cs="Cambria" w:eastAsia="Cambria"/>
        </w:rPr>
        <w:t>3.2. Organisational model: general architecture and multilevel governance</w:t>
      </w:r>
    </w:p>
    <w:p>
      <w:pPr>
        <w:pStyle w:val="Heading3"/>
      </w:pPr>
      <w:r>
        <w:rPr>
          <w:rFonts w:ascii="Cambria" w:hAnsi="Cambria" w:cs="Cambria" w:eastAsia="Cambria"/>
        </w:rPr>
        <w:t>3.2.1. Regional level: strategic coordination and monitoring</w:t>
      </w:r>
    </w:p>
    <w:p>
      <w:r>
        <w:rPr>
          <w:rFonts w:ascii="Cambria" w:hAnsi="Cambria" w:cs="Cambria" w:eastAsia="Cambria"/>
        </w:rPr>
        <w:t>Ministerial Decree 77/2022 defines uniform organisational standards for territorial care: Hub Community Houses (1 per 40,000-50,000 inhabitants, open 24/7), Spoke Community Houses, Community Hospitals (1 per 100,000 inhabitants, 20 beds), and Territorial Operations Centres</w:t>
      </w:r>
      <w:r>
        <w:rPr>
          <w:rStyle w:val="FootnoteReference"/>
        </w:rPr>
        <w:footnoteReference w:id="31"/>
      </w:r>
      <w:r>
        <w:rPr>
          <w:rFonts w:ascii="Cambria" w:hAnsi="Cambria" w:cs="Cambria" w:eastAsia="Cambria"/>
        </w:rPr>
        <w:t>. The Regional Coordination of the Service, established within the General Directorate for Health, performs functions of strategic direction, the definition of evidence-based guidelines, indicator monitoring, training coordination, methodological support to Local Health Authorities, and inter-agency benchmarking.</w:t>
      </w:r>
    </w:p>
    <w:p>
      <w:pPr>
        <w:pStyle w:val="Heading3"/>
      </w:pPr>
      <w:r>
        <w:rPr>
          <w:rFonts w:ascii="Cambria" w:hAnsi="Cambria" w:cs="Cambria" w:eastAsia="Cambria"/>
        </w:rPr>
        <w:t>3.2.2. District level: operational implementation and proximity</w:t>
      </w:r>
    </w:p>
    <w:p>
      <w:r>
        <w:rPr>
          <w:rFonts w:ascii="Cambria" w:hAnsi="Cambria" w:cs="Cambria" w:eastAsia="Cambria"/>
        </w:rPr>
        <w:t>The Socio-Health District (60,000-100,000 inhabitants) constitutes the basic organisational unit. Within the district perimeter, the number of Primary Care Psychologists assigned is defined through participatory planning, on the basis of equity algorithms that take into account population, the ageing index, the deprivation index, the prevalence of chronic conditions, and rurality characteristics. Access arrangements provide for maximum response times of 14-21 days for routine requests and 72 hours for urgent ones.</w:t>
      </w:r>
    </w:p>
    <w:p>
      <w:r>
        <w:rPr>
          <w:rFonts w:ascii="Cambria" w:hAnsi="Cambria" w:cs="Cambria" w:eastAsia="Cambria"/>
        </w:rPr>
        <w:t>Referral protocols to the Departments of Mental Health specify the step-up criteria: persistence of symptoms despite 6-8 appropriate sessions, complex psychiatric comorbidities, elevated suicide risk, and the need for prolonged treatment. Step-down pathways from specialist services back to primary care psychology are also provided for stabilised patients.</w:t>
      </w:r>
    </w:p>
    <w:p>
      <w:pPr>
        <w:pStyle w:val="Heading3"/>
      </w:pPr>
      <w:r>
        <w:rPr>
          <w:rFonts w:ascii="Cambria" w:hAnsi="Cambria" w:cs="Cambria" w:eastAsia="Cambria"/>
        </w:rPr>
        <w:t>3.2.3. Five local organisational models: adaptive flexibility</w:t>
      </w:r>
    </w:p>
    <w:p>
      <w:r>
        <w:rPr>
          <w:rFonts w:ascii="Cambria" w:hAnsi="Cambria" w:cs="Cambria" w:eastAsia="Cambria"/>
        </w:rPr>
        <w:t>The technical-financial report identifies five archetypal organisational models, which can be combined and adapted to the specific features of each district territory.</w:t>
      </w:r>
    </w:p>
    <w:p>
      <w:r>
        <w:rPr>
          <w:rFonts w:ascii="Cambria" w:hAnsi="Cambria" w:cs="Cambria" w:eastAsia="Cambria"/>
        </w:rPr>
        <w:t xml:space="preserve">Tab. 3.1 — The five local organisational models of the </w:t>
      </w:r>
      <w:r>
        <w:rPr>
          <w:rFonts w:ascii="Cambria" w:hAnsi="Cambria" w:cs="Cambria" w:eastAsia="Cambria"/>
          <w:i/>
        </w:rPr>
        <w:t>Primary Care Psychology</w:t>
      </w:r>
      <w:r>
        <w:rPr>
          <w:rFonts w:ascii="Cambria" w:hAnsi="Cambria" w:cs="Cambria" w:eastAsia="Cambria"/>
        </w:rPr>
        <w:t xml:space="preserve"> Service</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Model</w:t>
            </w:r>
          </w:p>
        </w:tc>
        <w:tc>
          <w:tcPr>
            <w:tcW w:type="dxa" w:w="3009"/>
            <w:shd w:val="clear" w:color="auto" w:fill="16264B"/>
          </w:tcPr>
          <w:p>
            <w:pPr>
              <w:spacing w:after="40" w:before="40"/>
              <w:jc w:val="left"/>
            </w:pPr>
            <w:r>
              <w:rPr>
                <w:rFonts w:ascii="Cambria" w:hAnsi="Cambria" w:cs="Cambria" w:eastAsia="Cambria"/>
                <w:b/>
                <w:color w:val="FFFFFF"/>
                <w:sz w:val="19"/>
              </w:rPr>
              <w:t>Description</w:t>
            </w:r>
          </w:p>
        </w:tc>
        <w:tc>
          <w:tcPr>
            <w:tcW w:type="dxa" w:w="3009"/>
            <w:shd w:val="clear" w:color="auto" w:fill="16264B"/>
          </w:tcPr>
          <w:p>
            <w:pPr>
              <w:spacing w:after="40" w:before="40"/>
              <w:jc w:val="left"/>
            </w:pPr>
            <w:r>
              <w:rPr>
                <w:rFonts w:ascii="Cambria" w:hAnsi="Cambria" w:cs="Cambria" w:eastAsia="Cambria"/>
                <w:b/>
                <w:color w:val="FFFFFF"/>
                <w:sz w:val="19"/>
              </w:rPr>
              <w:t>Preferred context</w:t>
            </w:r>
          </w:p>
        </w:tc>
      </w:tr>
      <w:tr>
        <w:tc>
          <w:tcPr>
            <w:tcW w:type="dxa" w:w="3009"/>
          </w:tcPr>
          <w:p>
            <w:pPr>
              <w:spacing w:after="40" w:before="40"/>
              <w:jc w:val="left"/>
            </w:pPr>
            <w:r>
              <w:rPr>
                <w:rFonts w:ascii="Cambria" w:hAnsi="Cambria" w:cs="Cambria" w:eastAsia="Cambria"/>
                <w:sz w:val="19"/>
              </w:rPr>
              <w:t>A — Reference psychologist</w:t>
            </w:r>
          </w:p>
        </w:tc>
        <w:tc>
          <w:tcPr>
            <w:tcW w:type="dxa" w:w="3009"/>
          </w:tcPr>
          <w:p>
            <w:pPr>
              <w:spacing w:after="40" w:before="40"/>
              <w:jc w:val="left"/>
            </w:pPr>
            <w:r>
              <w:rPr>
                <w:rFonts w:ascii="Cambria" w:hAnsi="Cambria" w:cs="Cambria" w:eastAsia="Cambria"/>
                <w:sz w:val="19"/>
              </w:rPr>
              <w:t>1 psychologist per 4-5 GPs (POH-GGZ style), maximum integration</w:t>
            </w:r>
          </w:p>
        </w:tc>
        <w:tc>
          <w:tcPr>
            <w:tcW w:type="dxa" w:w="3009"/>
          </w:tcPr>
          <w:p>
            <w:pPr>
              <w:spacing w:after="40" w:before="40"/>
              <w:jc w:val="left"/>
            </w:pPr>
            <w:r>
              <w:rPr>
                <w:rFonts w:ascii="Cambria" w:hAnsi="Cambria" w:cs="Cambria" w:eastAsia="Cambria"/>
                <w:sz w:val="19"/>
              </w:rPr>
              <w:t>Urban areas with concentrated GPs</w:t>
            </w:r>
          </w:p>
        </w:tc>
      </w:tr>
      <w:tr>
        <w:tc>
          <w:tcPr>
            <w:tcW w:type="dxa" w:w="3009"/>
          </w:tcPr>
          <w:p>
            <w:pPr>
              <w:spacing w:after="40" w:before="40"/>
              <w:jc w:val="left"/>
            </w:pPr>
            <w:r>
              <w:rPr>
                <w:rFonts w:ascii="Cambria" w:hAnsi="Cambria" w:cs="Cambria" w:eastAsia="Cambria"/>
                <w:sz w:val="19"/>
              </w:rPr>
              <w:t>B — Mobile district team</w:t>
            </w:r>
          </w:p>
        </w:tc>
        <w:tc>
          <w:tcPr>
            <w:tcW w:type="dxa" w:w="3009"/>
          </w:tcPr>
          <w:p>
            <w:pPr>
              <w:spacing w:after="40" w:before="40"/>
              <w:jc w:val="left"/>
            </w:pPr>
            <w:r>
              <w:rPr>
                <w:rFonts w:ascii="Cambria" w:hAnsi="Cambria" w:cs="Cambria" w:eastAsia="Cambria"/>
                <w:sz w:val="19"/>
              </w:rPr>
              <w:t>3-5 psychologists rotating across multiple sites</w:t>
            </w:r>
          </w:p>
        </w:tc>
        <w:tc>
          <w:tcPr>
            <w:tcW w:type="dxa" w:w="3009"/>
          </w:tcPr>
          <w:p>
            <w:pPr>
              <w:spacing w:after="40" w:before="40"/>
              <w:jc w:val="left"/>
            </w:pPr>
            <w:r>
              <w:rPr>
                <w:rFonts w:ascii="Cambria" w:hAnsi="Cambria" w:cs="Cambria" w:eastAsia="Cambria"/>
                <w:sz w:val="19"/>
              </w:rPr>
              <w:t>Dispersed rural territories, high rurality</w:t>
            </w:r>
          </w:p>
        </w:tc>
      </w:tr>
      <w:tr>
        <w:tc>
          <w:tcPr>
            <w:tcW w:type="dxa" w:w="3009"/>
          </w:tcPr>
          <w:p>
            <w:pPr>
              <w:spacing w:after="40" w:before="40"/>
              <w:jc w:val="left"/>
            </w:pPr>
            <w:r>
              <w:rPr>
                <w:rFonts w:ascii="Cambria" w:hAnsi="Cambria" w:cs="Cambria" w:eastAsia="Cambria"/>
                <w:sz w:val="19"/>
              </w:rPr>
              <w:t>C — Hub and Spoke</w:t>
            </w:r>
          </w:p>
        </w:tc>
        <w:tc>
          <w:tcPr>
            <w:tcW w:type="dxa" w:w="3009"/>
          </w:tcPr>
          <w:p>
            <w:pPr>
              <w:spacing w:after="40" w:before="40"/>
              <w:jc w:val="left"/>
            </w:pPr>
            <w:r>
              <w:rPr>
                <w:rFonts w:ascii="Cambria" w:hAnsi="Cambria" w:cs="Cambria" w:eastAsia="Cambria"/>
                <w:sz w:val="19"/>
              </w:rPr>
              <w:t>Senior psychologists in Hub Community Houses + peripheral outreach</w:t>
            </w:r>
          </w:p>
        </w:tc>
        <w:tc>
          <w:tcPr>
            <w:tcW w:type="dxa" w:w="3009"/>
          </w:tcPr>
          <w:p>
            <w:pPr>
              <w:spacing w:after="40" w:before="40"/>
              <w:jc w:val="left"/>
            </w:pPr>
            <w:r>
              <w:rPr>
                <w:rFonts w:ascii="Cambria" w:hAnsi="Cambria" w:cs="Cambria" w:eastAsia="Cambria"/>
                <w:sz w:val="19"/>
              </w:rPr>
              <w:t>Polycentric territories</w:t>
            </w:r>
          </w:p>
        </w:tc>
      </w:tr>
      <w:tr>
        <w:tc>
          <w:tcPr>
            <w:tcW w:type="dxa" w:w="3009"/>
          </w:tcPr>
          <w:p>
            <w:pPr>
              <w:spacing w:after="40" w:before="40"/>
              <w:jc w:val="left"/>
            </w:pPr>
            <w:r>
              <w:rPr>
                <w:rFonts w:ascii="Cambria" w:hAnsi="Cambria" w:cs="Cambria" w:eastAsia="Cambria"/>
                <w:sz w:val="19"/>
              </w:rPr>
              <w:t>D — Integrated telepsychology</w:t>
            </w:r>
          </w:p>
        </w:tc>
        <w:tc>
          <w:tcPr>
            <w:tcW w:type="dxa" w:w="3009"/>
          </w:tcPr>
          <w:p>
            <w:pPr>
              <w:spacing w:after="40" w:before="40"/>
              <w:jc w:val="left"/>
            </w:pPr>
            <w:r>
              <w:rPr>
                <w:rFonts w:ascii="Cambria" w:hAnsi="Cambria" w:cs="Cambria" w:eastAsia="Cambria"/>
                <w:sz w:val="19"/>
              </w:rPr>
              <w:t>Hybrid interventions: in-person + secure videoconferencing</w:t>
            </w:r>
          </w:p>
        </w:tc>
        <w:tc>
          <w:tcPr>
            <w:tcW w:type="dxa" w:w="3009"/>
          </w:tcPr>
          <w:p>
            <w:pPr>
              <w:spacing w:after="40" w:before="40"/>
              <w:jc w:val="left"/>
            </w:pPr>
            <w:r>
              <w:rPr>
                <w:rFonts w:ascii="Cambria" w:hAnsi="Cambria" w:cs="Cambria" w:eastAsia="Cambria"/>
                <w:sz w:val="19"/>
              </w:rPr>
              <w:t>Remote areas, younger populations</w:t>
            </w:r>
          </w:p>
        </w:tc>
      </w:tr>
      <w:tr>
        <w:tc>
          <w:tcPr>
            <w:tcW w:type="dxa" w:w="3009"/>
          </w:tcPr>
          <w:p>
            <w:pPr>
              <w:spacing w:after="40" w:before="40"/>
              <w:jc w:val="left"/>
            </w:pPr>
            <w:r>
              <w:rPr>
                <w:rFonts w:ascii="Cambria" w:hAnsi="Cambria" w:cs="Cambria" w:eastAsia="Cambria"/>
                <w:sz w:val="19"/>
              </w:rPr>
              <w:t>E — Mixed / Hybrid</w:t>
            </w:r>
          </w:p>
        </w:tc>
        <w:tc>
          <w:tcPr>
            <w:tcW w:type="dxa" w:w="3009"/>
          </w:tcPr>
          <w:p>
            <w:pPr>
              <w:spacing w:after="40" w:before="40"/>
              <w:jc w:val="left"/>
            </w:pPr>
            <w:r>
              <w:rPr>
                <w:rFonts w:ascii="Cambria" w:hAnsi="Cambria" w:cs="Cambria" w:eastAsia="Cambria"/>
                <w:sz w:val="19"/>
              </w:rPr>
              <w:t>Flexible combination of the above archetypes</w:t>
            </w:r>
          </w:p>
        </w:tc>
        <w:tc>
          <w:tcPr>
            <w:tcW w:type="dxa" w:w="3009"/>
          </w:tcPr>
          <w:p>
            <w:pPr>
              <w:spacing w:after="40" w:before="40"/>
              <w:jc w:val="left"/>
            </w:pPr>
            <w:r>
              <w:rPr>
                <w:rFonts w:ascii="Cambria" w:hAnsi="Cambria" w:cs="Cambria" w:eastAsia="Cambria"/>
                <w:sz w:val="19"/>
              </w:rPr>
              <w:t>Heterogeneous territories</w:t>
            </w:r>
          </w:p>
        </w:tc>
      </w:tr>
    </w:tbl>
    <w:p/>
    <w:p>
      <w:r>
        <w:rPr>
          <w:rFonts w:ascii="Cambria" w:hAnsi="Cambria" w:cs="Cambria" w:eastAsia="Cambria"/>
        </w:rPr>
        <w:t>Model A provides for physical sharing of space, integrated scheduling and weekly clinical meetings; Dutch evidence documents that it produces the best clinical outcomes. Model B is appropriate for highly rural districts. Model C combines the management of complex cases with peripheral outreach. Model D exploits digital technologies with effectiveness equivalent to face-to-face contact for the majority of common disorders. Model E recognises the heterogeneity of territories, requiring structured and participatory decision-making processes.</w:t>
      </w:r>
    </w:p>
    <w:p>
      <w:pPr>
        <w:pStyle w:val="Heading2"/>
      </w:pPr>
      <w:r>
        <w:rPr>
          <w:rFonts w:ascii="Cambria" w:hAnsi="Cambria" w:cs="Cambria" w:eastAsia="Cambria"/>
        </w:rPr>
        <w:t>3.3. Staffing: evidence-based parameters and sizing</w:t>
      </w:r>
    </w:p>
    <w:p>
      <w:pPr>
        <w:pStyle w:val="Heading3"/>
      </w:pPr>
      <w:r>
        <w:rPr>
          <w:rFonts w:ascii="Cambria" w:hAnsi="Cambria" w:cs="Cambria" w:eastAsia="Cambria"/>
        </w:rPr>
        <w:t>3.3.1. International reference standards</w:t>
      </w:r>
    </w:p>
    <w:p>
      <w:r>
        <w:rPr>
          <w:rFonts w:ascii="Cambria" w:hAnsi="Cambria" w:cs="Cambria" w:eastAsia="Cambria"/>
        </w:rPr>
        <w:t>The IAPT programme employs 13,779 full-time-equivalent staff (of whom 10,721 are patient-facing) for 56 million inhabitants, a ratio of approximately 1 staff member per 5,224 inhabitants</w:t>
      </w:r>
      <w:r>
        <w:rPr>
          <w:rStyle w:val="FootnoteReference"/>
        </w:rPr>
        <w:footnoteReference w:id="32"/>
      </w:r>
      <w:r>
        <w:rPr>
          <w:rFonts w:ascii="Cambria" w:hAnsi="Cambria" w:cs="Cambria" w:eastAsia="Cambria"/>
        </w:rPr>
        <w:t>. The composition provides for approximately 40% low-intensity practitioners and 60% high-intensity therapists. The strategic target of the NHS Long Term Plan is 25% of community prevalence. The Dutch model provides for 1 psychologist per 4-5 GPs. The British Psychological Society recommends 1 clinical psychologist per 50,000 primary care patients.</w:t>
      </w:r>
    </w:p>
    <w:p>
      <w:pPr>
        <w:pStyle w:val="Heading3"/>
      </w:pPr>
      <w:r>
        <w:rPr>
          <w:rFonts w:ascii="Cambria" w:hAnsi="Cambria" w:cs="Cambria" w:eastAsia="Cambria"/>
        </w:rPr>
        <w:t>3.3.2. Application to the Apulian context: three staffing scenarios</w:t>
      </w:r>
    </w:p>
    <w:p>
      <w:r>
        <w:rPr>
          <w:rFonts w:ascii="Cambria" w:hAnsi="Cambria" w:cs="Cambria" w:eastAsia="Cambria"/>
        </w:rPr>
        <w:t>The Apulian population (approximately 3,950,000 inhabitants) and the primary care system (approximately 3,100 GPs and primary care paediatricians) form the basis for three organic-staffing scenarios.</w:t>
      </w:r>
    </w:p>
    <w:p>
      <w:r>
        <w:rPr>
          <w:rFonts w:ascii="Cambria" w:hAnsi="Cambria" w:cs="Cambria" w:eastAsia="Cambria"/>
        </w:rPr>
        <w:t>Tab. 3.2 — Three organic-staffing scenarios for Primary Care Psychologists</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2256"/>
        <w:gridCol w:w="2256"/>
        <w:gridCol w:w="2256"/>
        <w:gridCol w:w="2256"/>
      </w:tblGrid>
      <w:tr>
        <w:tc>
          <w:tcPr>
            <w:tcW w:type="dxa" w:w="2256"/>
            <w:shd w:val="clear" w:color="auto" w:fill="16264B"/>
          </w:tcPr>
          <w:p>
            <w:pPr>
              <w:spacing w:after="40" w:before="40"/>
              <w:jc w:val="left"/>
            </w:pPr>
            <w:r>
              <w:rPr>
                <w:rFonts w:ascii="Cambria" w:hAnsi="Cambria" w:cs="Cambria" w:eastAsia="Cambria"/>
                <w:b/>
                <w:color w:val="FFFFFF"/>
                <w:sz w:val="19"/>
              </w:rPr>
              <w:t>Scenario</w:t>
            </w:r>
          </w:p>
        </w:tc>
        <w:tc>
          <w:tcPr>
            <w:tcW w:type="dxa" w:w="2256"/>
            <w:shd w:val="clear" w:color="auto" w:fill="16264B"/>
          </w:tcPr>
          <w:p>
            <w:pPr>
              <w:spacing w:after="40" w:before="40"/>
              <w:jc w:val="left"/>
            </w:pPr>
            <w:r>
              <w:rPr>
                <w:rFonts w:ascii="Cambria" w:hAnsi="Cambria" w:cs="Cambria" w:eastAsia="Cambria"/>
                <w:b/>
                <w:color w:val="FFFFFF"/>
                <w:sz w:val="19"/>
              </w:rPr>
              <w:t>Psychologists</w:t>
            </w:r>
          </w:p>
        </w:tc>
        <w:tc>
          <w:tcPr>
            <w:tcW w:type="dxa" w:w="2256"/>
            <w:shd w:val="clear" w:color="auto" w:fill="16264B"/>
          </w:tcPr>
          <w:p>
            <w:pPr>
              <w:spacing w:after="40" w:before="40"/>
              <w:jc w:val="left"/>
            </w:pPr>
            <w:r>
              <w:rPr>
                <w:rFonts w:ascii="Cambria" w:hAnsi="Cambria" w:cs="Cambria" w:eastAsia="Cambria"/>
                <w:b/>
                <w:color w:val="FFFFFF"/>
                <w:sz w:val="19"/>
              </w:rPr>
              <w:t>Ratio</w:t>
            </w:r>
          </w:p>
        </w:tc>
        <w:tc>
          <w:tcPr>
            <w:tcW w:type="dxa" w:w="2256"/>
            <w:shd w:val="clear" w:color="auto" w:fill="16264B"/>
          </w:tcPr>
          <w:p>
            <w:pPr>
              <w:spacing w:after="40" w:before="40"/>
              <w:jc w:val="left"/>
            </w:pPr>
            <w:r>
              <w:rPr>
                <w:rFonts w:ascii="Cambria" w:hAnsi="Cambria" w:cs="Cambria" w:eastAsia="Cambria"/>
                <w:b/>
                <w:color w:val="FFFFFF"/>
                <w:sz w:val="19"/>
              </w:rPr>
              <w:t>Characterisation</w:t>
            </w:r>
          </w:p>
        </w:tc>
      </w:tr>
      <w:tr>
        <w:tc>
          <w:tcPr>
            <w:tcW w:type="dxa" w:w="2256"/>
          </w:tcPr>
          <w:p>
            <w:pPr>
              <w:spacing w:after="40" w:before="40"/>
              <w:jc w:val="left"/>
            </w:pPr>
            <w:r>
              <w:rPr>
                <w:rFonts w:ascii="Cambria" w:hAnsi="Cambria" w:cs="Cambria" w:eastAsia="Cambria"/>
                <w:sz w:val="19"/>
              </w:rPr>
              <w:t>1 — Prudent/Conservative</w:t>
            </w:r>
          </w:p>
        </w:tc>
        <w:tc>
          <w:tcPr>
            <w:tcW w:type="dxa" w:w="2256"/>
          </w:tcPr>
          <w:p>
            <w:pPr>
              <w:spacing w:after="40" w:before="40"/>
              <w:jc w:val="left"/>
            </w:pPr>
            <w:r>
              <w:rPr>
                <w:rFonts w:ascii="Cambria" w:hAnsi="Cambria" w:cs="Cambria" w:eastAsia="Cambria"/>
                <w:sz w:val="19"/>
              </w:rPr>
              <w:t>620</w:t>
            </w:r>
          </w:p>
        </w:tc>
        <w:tc>
          <w:tcPr>
            <w:tcW w:type="dxa" w:w="2256"/>
          </w:tcPr>
          <w:p>
            <w:pPr>
              <w:spacing w:after="40" w:before="40"/>
              <w:jc w:val="left"/>
            </w:pPr>
            <w:r>
              <w:rPr>
                <w:rFonts w:ascii="Cambria" w:hAnsi="Cambria" w:cs="Cambria" w:eastAsia="Cambria"/>
                <w:sz w:val="19"/>
              </w:rPr>
              <w:t>1 per 6,370 inhab.</w:t>
            </w:r>
          </w:p>
        </w:tc>
        <w:tc>
          <w:tcPr>
            <w:tcW w:type="dxa" w:w="2256"/>
          </w:tcPr>
          <w:p>
            <w:pPr>
              <w:spacing w:after="40" w:before="40"/>
              <w:jc w:val="left"/>
            </w:pPr>
            <w:r>
              <w:rPr>
                <w:rFonts w:ascii="Cambria" w:hAnsi="Cambria" w:cs="Cambria" w:eastAsia="Cambria"/>
                <w:sz w:val="19"/>
              </w:rPr>
              <w:t>Gradual start-up phase</w:t>
            </w:r>
          </w:p>
        </w:tc>
      </w:tr>
      <w:tr>
        <w:tc>
          <w:tcPr>
            <w:tcW w:type="dxa" w:w="2256"/>
          </w:tcPr>
          <w:p>
            <w:pPr>
              <w:spacing w:after="40" w:before="40"/>
              <w:jc w:val="left"/>
            </w:pPr>
            <w:r>
              <w:rPr>
                <w:rFonts w:ascii="Cambria" w:hAnsi="Cambria" w:cs="Cambria" w:eastAsia="Cambria"/>
                <w:sz w:val="19"/>
              </w:rPr>
              <w:t>2 — Standard/Recommended</w:t>
            </w:r>
          </w:p>
        </w:tc>
        <w:tc>
          <w:tcPr>
            <w:tcW w:type="dxa" w:w="2256"/>
          </w:tcPr>
          <w:p>
            <w:pPr>
              <w:spacing w:after="40" w:before="40"/>
              <w:jc w:val="left"/>
            </w:pPr>
            <w:r>
              <w:rPr>
                <w:rFonts w:ascii="Cambria" w:hAnsi="Cambria" w:cs="Cambria" w:eastAsia="Cambria"/>
                <w:sz w:val="19"/>
              </w:rPr>
              <w:t>775-800</w:t>
            </w:r>
          </w:p>
        </w:tc>
        <w:tc>
          <w:tcPr>
            <w:tcW w:type="dxa" w:w="2256"/>
          </w:tcPr>
          <w:p>
            <w:pPr>
              <w:spacing w:after="40" w:before="40"/>
              <w:jc w:val="left"/>
            </w:pPr>
            <w:r>
              <w:rPr>
                <w:rFonts w:ascii="Cambria" w:hAnsi="Cambria" w:cs="Cambria" w:eastAsia="Cambria"/>
                <w:sz w:val="19"/>
              </w:rPr>
              <w:t>1 per 4,940 inhab.</w:t>
            </w:r>
          </w:p>
        </w:tc>
        <w:tc>
          <w:tcPr>
            <w:tcW w:type="dxa" w:w="2256"/>
          </w:tcPr>
          <w:p>
            <w:pPr>
              <w:spacing w:after="40" w:before="40"/>
              <w:jc w:val="left"/>
            </w:pPr>
            <w:r>
              <w:rPr>
                <w:rFonts w:ascii="Cambria" w:hAnsi="Cambria" w:cs="Cambria" w:eastAsia="Cambria"/>
                <w:sz w:val="19"/>
              </w:rPr>
              <w:t>Full-implementation steady state (ref. POH-GGZ)</w:t>
            </w:r>
          </w:p>
        </w:tc>
      </w:tr>
      <w:tr>
        <w:tc>
          <w:tcPr>
            <w:tcW w:type="dxa" w:w="2256"/>
          </w:tcPr>
          <w:p>
            <w:pPr>
              <w:spacing w:after="40" w:before="40"/>
              <w:jc w:val="left"/>
            </w:pPr>
            <w:r>
              <w:rPr>
                <w:rFonts w:ascii="Cambria" w:hAnsi="Cambria" w:cs="Cambria" w:eastAsia="Cambria"/>
                <w:sz w:val="19"/>
              </w:rPr>
              <w:t>3 — Optimal/Expansive</w:t>
            </w:r>
          </w:p>
        </w:tc>
        <w:tc>
          <w:tcPr>
            <w:tcW w:type="dxa" w:w="2256"/>
          </w:tcPr>
          <w:p>
            <w:pPr>
              <w:spacing w:after="40" w:before="40"/>
              <w:jc w:val="left"/>
            </w:pPr>
            <w:r>
              <w:rPr>
                <w:rFonts w:ascii="Cambria" w:hAnsi="Cambria" w:cs="Cambria" w:eastAsia="Cambria"/>
                <w:sz w:val="19"/>
              </w:rPr>
              <w:t>900</w:t>
            </w:r>
          </w:p>
        </w:tc>
        <w:tc>
          <w:tcPr>
            <w:tcW w:type="dxa" w:w="2256"/>
          </w:tcPr>
          <w:p>
            <w:pPr>
              <w:spacing w:after="40" w:before="40"/>
              <w:jc w:val="left"/>
            </w:pPr>
            <w:r>
              <w:rPr>
                <w:rFonts w:ascii="Cambria" w:hAnsi="Cambria" w:cs="Cambria" w:eastAsia="Cambria"/>
                <w:sz w:val="19"/>
              </w:rPr>
              <w:t>1 per 4,390 inhab.</w:t>
            </w:r>
          </w:p>
        </w:tc>
        <w:tc>
          <w:tcPr>
            <w:tcW w:type="dxa" w:w="2256"/>
          </w:tcPr>
          <w:p>
            <w:pPr>
              <w:spacing w:after="40" w:before="40"/>
              <w:jc w:val="left"/>
            </w:pPr>
            <w:r>
              <w:rPr>
                <w:rFonts w:ascii="Cambria" w:hAnsi="Cambria" w:cs="Cambria" w:eastAsia="Cambria"/>
                <w:sz w:val="19"/>
              </w:rPr>
              <w:t>Best European standards</w:t>
            </w:r>
          </w:p>
        </w:tc>
      </w:tr>
    </w:tbl>
    <w:p/>
    <w:p>
      <w:r>
        <w:rPr>
          <w:rFonts w:ascii="Cambria" w:hAnsi="Cambria" w:cs="Cambria" w:eastAsia="Cambria"/>
        </w:rPr>
        <w:t>Scenario 1 represents a gradual initial approach appropriate for the start-up phase. Scenario 2, used as the principal reference, is aligned with the POH-GGZ model and constitutes the optimal balance between sustainability and service quality, to be reached over three years through a staggered recruitment plan (30% in the first year, 60% cumulative in the second, 90% in the third, 100% in the fourth). Scenario 3 represents a strategic long-term development horizon comparable to the best Scandinavian standards.</w:t>
      </w:r>
    </w:p>
    <w:p>
      <w:pPr>
        <w:pStyle w:val="Heading3"/>
      </w:pPr>
      <w:r>
        <w:rPr>
          <w:rFonts w:ascii="Cambria" w:hAnsi="Cambria" w:cs="Cambria" w:eastAsia="Cambria"/>
        </w:rPr>
        <w:t>3.3.3. Territorial-equity adjustment formula</w:t>
      </w:r>
    </w:p>
    <w:p>
      <w:r>
        <w:rPr>
          <w:rFonts w:ascii="Cambria" w:hAnsi="Cambria" w:cs="Cambria" w:eastAsia="Cambria"/>
        </w:rPr>
        <w:t>District allocation does not follow a logic that is merely proportional to population, but incorporates four dimensions that the literature identifies as determinants of need: the ageing index (a proxy for the burden among the older population and for mobility difficulties); the socioeconomic deprivation index (a robust determinant of mental health); the prevalence of chronic conditions and multimorbidity (a bidirectional association with mental disorders); and indicators of rurality and geographic accessibility (the distance-decay effect). Districts characterised by high values on these indicators receive increased weights in the allocation algorithm.</w:t>
      </w:r>
    </w:p>
    <w:p>
      <w:pPr>
        <w:pStyle w:val="Heading2"/>
      </w:pPr>
      <w:r>
        <w:rPr>
          <w:rFonts w:ascii="Cambria" w:hAnsi="Cambria" w:cs="Cambria" w:eastAsia="Cambria"/>
        </w:rPr>
        <w:t>Conclusions of Chapter III</w:t>
      </w:r>
    </w:p>
    <w:p>
      <w:r>
        <w:rPr>
          <w:rFonts w:ascii="Cambria" w:hAnsi="Cambria" w:cs="Cambria" w:eastAsia="Cambria"/>
        </w:rPr>
        <w:t>Chapter III has outlined an organisational model rigorously grounded in robust international evidence (IAPT, POH-GGZ, CoCM, Collabri), consistent with Ministerial Decree 77/2022 and Mission 6 of the PNRR. Sizing parameters articulated across three scenarios (620, 775-800, 900 psychologists) allow flexibility in planning. Multilevel governance ensures uniformity of standards and equity of access; the five operating models ensure adaptation to territorial specificities; and multi-professional integration and structured training ensure clinical quality and appropriateness.</w:t>
      </w:r>
    </w:p>
    <w:p>
      <w:r>
        <w:rPr>
          <w:rFonts w:ascii="Cambria" w:hAnsi="Cambria" w:cs="Cambria" w:eastAsia="Cambria"/>
        </w:rPr>
        <w:t xml:space="preserve">The model can be implemented through a staggered recruitment plan, is economically sustainable as documented in Chapter IV, and can be systematically evaluated through the Donabedian framework integrated with </w:t>
      </w:r>
      <w:r>
        <w:rPr>
          <w:rFonts w:ascii="Cambria" w:hAnsi="Cambria" w:cs="Cambria" w:eastAsia="Cambria"/>
          <w:i/>
        </w:rPr>
        <w:t>Routine Outcome Monitoring</w:t>
      </w:r>
      <w:r>
        <w:rPr>
          <w:rFonts w:ascii="Cambria" w:hAnsi="Cambria" w:cs="Cambria" w:eastAsia="Cambria"/>
        </w:rPr>
        <w:t>. It constitutes a potentially transformative intervention for the architecture of regional territorial care, capable of improving the accessibility, appropriateness, effectiveness and equity of care for common mental disorders.</w:t>
      </w:r>
    </w:p>
    <w:p>
      <w:pPr>
        <w:pStyle w:val="Heading1"/>
      </w:pPr>
      <w:r>
        <w:rPr>
          <w:rFonts w:ascii="Cambria" w:hAnsi="Cambria" w:cs="Cambria" w:eastAsia="Cambria"/>
        </w:rPr>
        <w:t>CHAPTER IV — DIRECT COSTS OF IMPLEMENTATION AND OPERATION</w:t>
      </w:r>
    </w:p>
    <w:p>
      <w:pPr>
        <w:pStyle w:val="Heading2"/>
      </w:pPr>
      <w:r>
        <w:rPr>
          <w:rFonts w:ascii="Cambria" w:hAnsi="Cambria" w:cs="Cambria" w:eastAsia="Cambria"/>
        </w:rPr>
        <w:t>General foreword and methodological framework</w:t>
      </w:r>
    </w:p>
    <w:p>
      <w:r>
        <w:rPr>
          <w:rFonts w:ascii="Cambria" w:hAnsi="Cambria" w:cs="Cambria" w:eastAsia="Cambria"/>
        </w:rPr>
        <w:t xml:space="preserve">The quantification of the financial burden of establishing the </w:t>
      </w:r>
      <w:r>
        <w:rPr>
          <w:rFonts w:ascii="Cambria" w:hAnsi="Cambria" w:cs="Cambria" w:eastAsia="Cambria"/>
          <w:i/>
        </w:rPr>
        <w:t>Primary Care Psychology</w:t>
      </w:r>
      <w:r>
        <w:rPr>
          <w:rFonts w:ascii="Cambria" w:hAnsi="Cambria" w:cs="Cambria" w:eastAsia="Cambria"/>
        </w:rPr>
        <w:t xml:space="preserve"> Service is formulated in light of the most recent epidemiological and demographic data, updated pay parameters for health personnel, and international benchmarks</w:t>
      </w:r>
      <w:r>
        <w:rPr>
          <w:rStyle w:val="FootnoteReference"/>
        </w:rPr>
        <w:footnoteReference w:id="33"/>
      </w:r>
      <w:r>
        <w:rPr>
          <w:rFonts w:ascii="Cambria" w:hAnsi="Cambria" w:cs="Cambria" w:eastAsia="Cambria"/>
        </w:rPr>
        <w:t>. The approach is rigorously evidence-based: all parameters are drawn from official sources (ISTAT, INPS, the national healthcare collective labour agreement (CCNL), WHO/OECD documents) and from peer-reviewed studies. This chapter quantifies direct costs exclusively; any estimate of health or social savings is deliberately deferred to Chapters V–VII, so as to maintain a prudent, transparent and verifiable expenditure framework.</w:t>
      </w:r>
    </w:p>
    <w:p>
      <w:pPr>
        <w:pStyle w:val="Heading2"/>
      </w:pPr>
      <w:r>
        <w:rPr>
          <w:rFonts w:ascii="Cambria" w:hAnsi="Cambria" w:cs="Cambria" w:eastAsia="Cambria"/>
        </w:rPr>
        <w:t>4.1. Regional demographic context and potential need</w:t>
      </w:r>
    </w:p>
    <w:p>
      <w:r>
        <w:rPr>
          <w:rFonts w:ascii="Cambria" w:hAnsi="Cambria" w:cs="Cambria" w:eastAsia="Cambria"/>
        </w:rPr>
        <w:t>The Apulia Region has 3,890,661 residents (ISTAT, December 2023): 24.7% are aged 65 or over (approximately 961,000 people), with a median age of 46.4 years. Prudently applying lifetime prevalence rates for depressive and anxiety disorders (15-20%) and annual rates of common mental disorder (10-15%), it is estimated that at least 550,000-600,000 residents experience a common mental disorder warranting assessment each year, and that 150,000-200,000 people present conditions of sufficient severity to require structured psychological intervention.</w:t>
      </w:r>
    </w:p>
    <w:p>
      <w:pPr>
        <w:pStyle w:val="Heading2"/>
      </w:pPr>
      <w:r>
        <w:rPr>
          <w:rFonts w:ascii="Cambria" w:hAnsi="Cambria" w:cs="Cambria" w:eastAsia="Cambria"/>
        </w:rPr>
        <w:t>4.2. Bottom-up construction of the cost per post</w:t>
      </w:r>
    </w:p>
    <w:p>
      <w:r>
        <w:rPr>
          <w:rFonts w:ascii="Cambria" w:hAnsi="Cambria" w:cs="Cambria" w:eastAsia="Cambria"/>
        </w:rPr>
        <w:t>The cost per post is built up from three quantities: the hourly rate borne by the employer (approximately €40/hour, anchored to the outpatient specialist national agreement, ACN), the annual hours per post (approximately 1,250, corresponding to 28-30 hours per week over 44 weeks), and overheads (approximately €5,000 for premises, platform, coordination and training)</w:t>
      </w:r>
      <w:r>
        <w:rPr>
          <w:rStyle w:val="FootnoteReference"/>
        </w:rPr>
        <w:footnoteReference w:id="34"/>
      </w:r>
      <w:r>
        <w:rPr>
          <w:rFonts w:ascii="Cambria" w:hAnsi="Cambria" w:cs="Cambria" w:eastAsia="Cambria"/>
        </w:rPr>
        <w:t>. The resulting annual pay is approximately €50,000, for a total cost per post of approximately €55,000. The premises cost is marginal because the posts are located within the Community Houses, an infrastructure largely already existing or funded by the PNRR.</w:t>
      </w:r>
    </w:p>
    <w:p>
      <w:r>
        <w:rPr>
          <w:rFonts w:ascii="Cambria" w:hAnsi="Cambria" w:cs="Cambria" w:eastAsia="Cambria"/>
        </w:rPr>
        <w:t>Tab. 4.1 — Bottom-up construction of the cost per post</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Item</w:t>
            </w:r>
          </w:p>
        </w:tc>
        <w:tc>
          <w:tcPr>
            <w:tcW w:type="dxa" w:w="3009"/>
            <w:shd w:val="clear" w:color="auto" w:fill="16264B"/>
          </w:tcPr>
          <w:p>
            <w:pPr>
              <w:spacing w:after="40" w:before="40"/>
              <w:jc w:val="left"/>
            </w:pPr>
            <w:r>
              <w:rPr>
                <w:rFonts w:ascii="Cambria" w:hAnsi="Cambria" w:cs="Cambria" w:eastAsia="Cambria"/>
                <w:b/>
                <w:color w:val="FFFFFF"/>
                <w:sz w:val="19"/>
              </w:rPr>
              <w:t>Base value</w:t>
            </w:r>
          </w:p>
        </w:tc>
        <w:tc>
          <w:tcPr>
            <w:tcW w:type="dxa" w:w="3009"/>
            <w:shd w:val="clear" w:color="auto" w:fill="16264B"/>
          </w:tcPr>
          <w:p>
            <w:pPr>
              <w:spacing w:after="40" w:before="40"/>
              <w:jc w:val="left"/>
            </w:pPr>
            <w:r>
              <w:rPr>
                <w:rFonts w:ascii="Cambria" w:hAnsi="Cambria" w:cs="Cambria" w:eastAsia="Cambria"/>
                <w:b/>
                <w:color w:val="FFFFFF"/>
                <w:sz w:val="19"/>
              </w:rPr>
              <w:t>Notes</w:t>
            </w:r>
          </w:p>
        </w:tc>
      </w:tr>
      <w:tr>
        <w:tc>
          <w:tcPr>
            <w:tcW w:type="dxa" w:w="3009"/>
          </w:tcPr>
          <w:p>
            <w:pPr>
              <w:spacing w:after="40" w:before="40"/>
              <w:jc w:val="left"/>
            </w:pPr>
            <w:r>
              <w:rPr>
                <w:rFonts w:ascii="Cambria" w:hAnsi="Cambria" w:cs="Cambria" w:eastAsia="Cambria"/>
                <w:sz w:val="19"/>
              </w:rPr>
              <w:t>Hourly rate (employer cost)</w:t>
            </w:r>
          </w:p>
        </w:tc>
        <w:tc>
          <w:tcPr>
            <w:tcW w:type="dxa" w:w="3009"/>
          </w:tcPr>
          <w:p>
            <w:pPr>
              <w:spacing w:after="40" w:before="40"/>
              <w:jc w:val="left"/>
            </w:pPr>
            <w:r>
              <w:rPr>
                <w:rFonts w:ascii="Cambria" w:hAnsi="Cambria" w:cs="Cambria" w:eastAsia="Cambria"/>
                <w:sz w:val="19"/>
              </w:rPr>
              <w:t>≈40/hour</w:t>
            </w:r>
          </w:p>
        </w:tc>
        <w:tc>
          <w:tcPr>
            <w:tcW w:type="dxa" w:w="3009"/>
          </w:tcPr>
          <w:p>
            <w:pPr>
              <w:spacing w:after="40" w:before="40"/>
              <w:jc w:val="left"/>
            </w:pPr>
            <w:r>
              <w:rPr>
                <w:rFonts w:ascii="Cambria" w:hAnsi="Cambria" w:cs="Cambria" w:eastAsia="Cambria"/>
                <w:sz w:val="19"/>
              </w:rPr>
              <w:t>pay + contributions, ref. national agreement (ACN)</w:t>
            </w:r>
          </w:p>
        </w:tc>
      </w:tr>
      <w:tr>
        <w:tc>
          <w:tcPr>
            <w:tcW w:type="dxa" w:w="3009"/>
          </w:tcPr>
          <w:p>
            <w:pPr>
              <w:spacing w:after="40" w:before="40"/>
              <w:jc w:val="left"/>
            </w:pPr>
            <w:r>
              <w:rPr>
                <w:rFonts w:ascii="Cambria" w:hAnsi="Cambria" w:cs="Cambria" w:eastAsia="Cambria"/>
                <w:sz w:val="19"/>
              </w:rPr>
              <w:t>Annual hours per post</w:t>
            </w:r>
          </w:p>
        </w:tc>
        <w:tc>
          <w:tcPr>
            <w:tcW w:type="dxa" w:w="3009"/>
          </w:tcPr>
          <w:p>
            <w:pPr>
              <w:spacing w:after="40" w:before="40"/>
              <w:jc w:val="left"/>
            </w:pPr>
            <w:r>
              <w:rPr>
                <w:rFonts w:ascii="Cambria" w:hAnsi="Cambria" w:cs="Cambria" w:eastAsia="Cambria"/>
                <w:sz w:val="19"/>
              </w:rPr>
              <w:t>≈1,250 hours</w:t>
            </w:r>
          </w:p>
        </w:tc>
        <w:tc>
          <w:tcPr>
            <w:tcW w:type="dxa" w:w="3009"/>
          </w:tcPr>
          <w:p>
            <w:pPr>
              <w:spacing w:after="40" w:before="40"/>
              <w:jc w:val="left"/>
            </w:pPr>
            <w:r>
              <w:rPr>
                <w:rFonts w:ascii="Cambria" w:hAnsi="Cambria" w:cs="Cambria" w:eastAsia="Cambria"/>
                <w:sz w:val="19"/>
              </w:rPr>
              <w:t>28-30 hours/week × 44 weeks</w:t>
            </w:r>
          </w:p>
        </w:tc>
      </w:tr>
      <w:tr>
        <w:tc>
          <w:tcPr>
            <w:tcW w:type="dxa" w:w="3009"/>
          </w:tcPr>
          <w:p>
            <w:pPr>
              <w:spacing w:after="40" w:before="40"/>
              <w:jc w:val="left"/>
            </w:pPr>
            <w:r>
              <w:rPr>
                <w:rFonts w:ascii="Cambria" w:hAnsi="Cambria" w:cs="Cambria" w:eastAsia="Cambria"/>
                <w:sz w:val="19"/>
              </w:rPr>
              <w:t>Annual pay</w:t>
            </w:r>
          </w:p>
        </w:tc>
        <w:tc>
          <w:tcPr>
            <w:tcW w:type="dxa" w:w="3009"/>
          </w:tcPr>
          <w:p>
            <w:pPr>
              <w:spacing w:after="40" w:before="40"/>
              <w:jc w:val="left"/>
            </w:pPr>
            <w:r>
              <w:rPr>
                <w:rFonts w:ascii="Cambria" w:hAnsi="Cambria" w:cs="Cambria" w:eastAsia="Cambria"/>
                <w:sz w:val="19"/>
              </w:rPr>
              <w:t>≈50,000</w:t>
            </w:r>
          </w:p>
        </w:tc>
        <w:tc>
          <w:tcPr>
            <w:tcW w:type="dxa" w:w="3009"/>
          </w:tcPr>
          <w:p>
            <w:pPr>
              <w:spacing w:after="40" w:before="40"/>
              <w:jc w:val="left"/>
            </w:pPr>
            <w:r>
              <w:rPr>
                <w:rFonts w:ascii="Cambria" w:hAnsi="Cambria" w:cs="Cambria" w:eastAsia="Cambria"/>
                <w:sz w:val="19"/>
              </w:rPr>
              <w:t>employer cost gross of contributions</w:t>
            </w:r>
          </w:p>
        </w:tc>
      </w:tr>
      <w:tr>
        <w:tc>
          <w:tcPr>
            <w:tcW w:type="dxa" w:w="3009"/>
          </w:tcPr>
          <w:p>
            <w:pPr>
              <w:spacing w:after="40" w:before="40"/>
              <w:jc w:val="left"/>
            </w:pPr>
            <w:r>
              <w:rPr>
                <w:rFonts w:ascii="Cambria" w:hAnsi="Cambria" w:cs="Cambria" w:eastAsia="Cambria"/>
                <w:sz w:val="19"/>
              </w:rPr>
              <w:t>Overheads per post</w:t>
            </w:r>
          </w:p>
        </w:tc>
        <w:tc>
          <w:tcPr>
            <w:tcW w:type="dxa" w:w="3009"/>
          </w:tcPr>
          <w:p>
            <w:pPr>
              <w:spacing w:after="40" w:before="40"/>
              <w:jc w:val="left"/>
            </w:pPr>
            <w:r>
              <w:rPr>
                <w:rFonts w:ascii="Cambria" w:hAnsi="Cambria" w:cs="Cambria" w:eastAsia="Cambria"/>
                <w:sz w:val="19"/>
              </w:rPr>
              <w:t>€5,000</w:t>
            </w:r>
          </w:p>
        </w:tc>
        <w:tc>
          <w:tcPr>
            <w:tcW w:type="dxa" w:w="3009"/>
          </w:tcPr>
          <w:p>
            <w:pPr>
              <w:spacing w:after="40" w:before="40"/>
              <w:jc w:val="left"/>
            </w:pPr>
            <w:r>
              <w:rPr>
                <w:rFonts w:ascii="Cambria" w:hAnsi="Cambria" w:cs="Cambria" w:eastAsia="Cambria"/>
                <w:sz w:val="19"/>
              </w:rPr>
              <w:t>premises, IT, coordination, training</w:t>
            </w:r>
          </w:p>
        </w:tc>
      </w:tr>
      <w:tr>
        <w:tc>
          <w:tcPr>
            <w:tcW w:type="dxa" w:w="3009"/>
          </w:tcPr>
          <w:p>
            <w:pPr>
              <w:spacing w:after="40" w:before="40"/>
              <w:jc w:val="left"/>
            </w:pPr>
            <w:r>
              <w:rPr>
                <w:rFonts w:ascii="Cambria" w:hAnsi="Cambria" w:cs="Cambria" w:eastAsia="Cambria"/>
                <w:sz w:val="19"/>
              </w:rPr>
              <w:t>Total cost per post</w:t>
            </w:r>
          </w:p>
        </w:tc>
        <w:tc>
          <w:tcPr>
            <w:tcW w:type="dxa" w:w="3009"/>
          </w:tcPr>
          <w:p>
            <w:pPr>
              <w:spacing w:after="40" w:before="40"/>
              <w:jc w:val="left"/>
            </w:pPr>
            <w:r>
              <w:rPr>
                <w:rFonts w:ascii="Cambria" w:hAnsi="Cambria" w:cs="Cambria" w:eastAsia="Cambria"/>
                <w:sz w:val="19"/>
              </w:rPr>
              <w:t>≈€55,000</w:t>
            </w:r>
          </w:p>
        </w:tc>
        <w:tc>
          <w:tcPr>
            <w:tcW w:type="dxa" w:w="3009"/>
          </w:tcPr>
          <w:p>
            <w:pPr>
              <w:spacing w:after="40" w:before="40"/>
              <w:jc w:val="left"/>
            </w:pPr>
            <w:r>
              <w:rPr>
                <w:rFonts w:ascii="Cambria" w:hAnsi="Cambria" w:cs="Cambria" w:eastAsia="Cambria"/>
                <w:sz w:val="19"/>
              </w:rPr>
              <w:t>value adopted across scenarios</w:t>
            </w:r>
          </w:p>
        </w:tc>
      </w:tr>
    </w:tbl>
    <w:p/>
    <w:p>
      <w:pPr>
        <w:pStyle w:val="Heading2"/>
      </w:pPr>
      <w:r>
        <w:rPr>
          <w:rFonts w:ascii="Cambria" w:hAnsi="Cambria" w:cs="Cambria" w:eastAsia="Cambria"/>
        </w:rPr>
        <w:t>4.3. Total cost of the service by scenario</w:t>
      </w:r>
    </w:p>
    <w:p>
      <w:r>
        <w:rPr>
          <w:rFonts w:ascii="Cambria" w:hAnsi="Cambria" w:cs="Cambria" w:eastAsia="Cambria"/>
        </w:rPr>
        <w:t>Multiplying the cost per post by the number of posts under each scenario gives the steady-state cost of the service. Comparison with the current situation clarifies the scale: the service today counts approximately 45 posts against €1.5 million per year, corresponding to about 5% of the estimated requirement of 800-900 psychologists</w:t>
      </w:r>
      <w:r>
        <w:rPr>
          <w:rStyle w:val="FootnoteReference"/>
        </w:rPr>
        <w:footnoteReference w:id="35"/>
      </w:r>
      <w:r>
        <w:rPr>
          <w:rFonts w:ascii="Cambria" w:hAnsi="Cambria" w:cs="Cambria" w:eastAsia="Cambria"/>
        </w:rPr>
        <w:t>. The scenarios bring the service towards full coverage of need, with a cost that remains a contained fraction of regional health funding.</w:t>
      </w:r>
    </w:p>
    <w:p>
      <w:r>
        <w:rPr>
          <w:rFonts w:ascii="Cambria" w:hAnsi="Cambria" w:cs="Cambria" w:eastAsia="Cambria"/>
        </w:rPr>
        <w:t>Tab. 4.2 — Cost of the service by scenario (steady state)</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2256"/>
        <w:gridCol w:w="2256"/>
        <w:gridCol w:w="2256"/>
        <w:gridCol w:w="2256"/>
      </w:tblGrid>
      <w:tr>
        <w:tc>
          <w:tcPr>
            <w:tcW w:type="dxa" w:w="2256"/>
            <w:shd w:val="clear" w:color="auto" w:fill="16264B"/>
          </w:tcPr>
          <w:p>
            <w:pPr>
              <w:spacing w:after="40" w:before="40"/>
              <w:jc w:val="left"/>
            </w:pPr>
            <w:r>
              <w:rPr>
                <w:rFonts w:ascii="Cambria" w:hAnsi="Cambria" w:cs="Cambria" w:eastAsia="Cambria"/>
                <w:b/>
                <w:color w:val="FFFFFF"/>
                <w:sz w:val="19"/>
              </w:rPr>
              <w:t>Scenario</w:t>
            </w:r>
          </w:p>
        </w:tc>
        <w:tc>
          <w:tcPr>
            <w:tcW w:type="dxa" w:w="2256"/>
            <w:shd w:val="clear" w:color="auto" w:fill="16264B"/>
          </w:tcPr>
          <w:p>
            <w:pPr>
              <w:spacing w:after="40" w:before="40"/>
              <w:jc w:val="left"/>
            </w:pPr>
            <w:r>
              <w:rPr>
                <w:rFonts w:ascii="Cambria" w:hAnsi="Cambria" w:cs="Cambria" w:eastAsia="Cambria"/>
                <w:b/>
                <w:color w:val="FFFFFF"/>
                <w:sz w:val="19"/>
              </w:rPr>
              <w:t>Posts</w:t>
            </w:r>
          </w:p>
        </w:tc>
        <w:tc>
          <w:tcPr>
            <w:tcW w:type="dxa" w:w="2256"/>
            <w:shd w:val="clear" w:color="auto" w:fill="16264B"/>
          </w:tcPr>
          <w:p>
            <w:pPr>
              <w:spacing w:after="40" w:before="40"/>
              <w:jc w:val="left"/>
            </w:pPr>
            <w:r>
              <w:rPr>
                <w:rFonts w:ascii="Cambria" w:hAnsi="Cambria" w:cs="Cambria" w:eastAsia="Cambria"/>
                <w:b/>
                <w:color w:val="FFFFFF"/>
                <w:sz w:val="19"/>
              </w:rPr>
              <w:t>Cost/post</w:t>
            </w:r>
          </w:p>
        </w:tc>
        <w:tc>
          <w:tcPr>
            <w:tcW w:type="dxa" w:w="2256"/>
            <w:shd w:val="clear" w:color="auto" w:fill="16264B"/>
          </w:tcPr>
          <w:p>
            <w:pPr>
              <w:spacing w:after="40" w:before="40"/>
              <w:jc w:val="left"/>
            </w:pPr>
            <w:r>
              <w:rPr>
                <w:rFonts w:ascii="Cambria" w:hAnsi="Cambria" w:cs="Cambria" w:eastAsia="Cambria"/>
                <w:b/>
                <w:color w:val="FFFFFF"/>
                <w:sz w:val="19"/>
              </w:rPr>
              <w:t>Total cost</w:t>
            </w:r>
          </w:p>
        </w:tc>
      </w:tr>
      <w:tr>
        <w:tc>
          <w:tcPr>
            <w:tcW w:type="dxa" w:w="2256"/>
          </w:tcPr>
          <w:p>
            <w:pPr>
              <w:spacing w:after="40" w:before="40"/>
              <w:jc w:val="left"/>
            </w:pPr>
            <w:r>
              <w:rPr>
                <w:rFonts w:ascii="Cambria" w:hAnsi="Cambria" w:cs="Cambria" w:eastAsia="Cambria"/>
                <w:sz w:val="19"/>
              </w:rPr>
              <w:t>Conservative</w:t>
            </w:r>
          </w:p>
        </w:tc>
        <w:tc>
          <w:tcPr>
            <w:tcW w:type="dxa" w:w="2256"/>
          </w:tcPr>
          <w:p>
            <w:pPr>
              <w:spacing w:after="40" w:before="40"/>
              <w:jc w:val="left"/>
            </w:pPr>
            <w:r>
              <w:rPr>
                <w:rFonts w:ascii="Cambria" w:hAnsi="Cambria" w:cs="Cambria" w:eastAsia="Cambria"/>
                <w:sz w:val="19"/>
              </w:rPr>
              <w:t>≈450-620</w:t>
            </w:r>
          </w:p>
        </w:tc>
        <w:tc>
          <w:tcPr>
            <w:tcW w:type="dxa" w:w="2256"/>
          </w:tcPr>
          <w:p>
            <w:pPr>
              <w:spacing w:after="40" w:before="40"/>
              <w:jc w:val="left"/>
            </w:pPr>
            <w:r>
              <w:rPr>
                <w:rFonts w:ascii="Cambria" w:hAnsi="Cambria" w:cs="Cambria" w:eastAsia="Cambria"/>
                <w:sz w:val="19"/>
              </w:rPr>
              <w:t>≈€55,000</w:t>
            </w:r>
          </w:p>
        </w:tc>
        <w:tc>
          <w:tcPr>
            <w:tcW w:type="dxa" w:w="2256"/>
          </w:tcPr>
          <w:p>
            <w:pPr>
              <w:spacing w:after="40" w:before="40"/>
              <w:jc w:val="left"/>
            </w:pPr>
            <w:r>
              <w:rPr>
                <w:rFonts w:ascii="Cambria" w:hAnsi="Cambria" w:cs="Cambria" w:eastAsia="Cambria"/>
                <w:sz w:val="19"/>
              </w:rPr>
              <w:t>≈€25 million</w:t>
            </w:r>
          </w:p>
        </w:tc>
      </w:tr>
      <w:tr>
        <w:tc>
          <w:tcPr>
            <w:tcW w:type="dxa" w:w="2256"/>
          </w:tcPr>
          <w:p>
            <w:pPr>
              <w:spacing w:after="40" w:before="40"/>
              <w:jc w:val="left"/>
            </w:pPr>
            <w:r>
              <w:rPr>
                <w:rFonts w:ascii="Cambria" w:hAnsi="Cambria" w:cs="Cambria" w:eastAsia="Cambria"/>
                <w:sz w:val="19"/>
              </w:rPr>
              <w:t>Base / Standard</w:t>
            </w:r>
          </w:p>
        </w:tc>
        <w:tc>
          <w:tcPr>
            <w:tcW w:type="dxa" w:w="2256"/>
          </w:tcPr>
          <w:p>
            <w:pPr>
              <w:spacing w:after="40" w:before="40"/>
              <w:jc w:val="left"/>
            </w:pPr>
            <w:r>
              <w:rPr>
                <w:rFonts w:ascii="Cambria" w:hAnsi="Cambria" w:cs="Cambria" w:eastAsia="Cambria"/>
                <w:sz w:val="19"/>
              </w:rPr>
              <w:t>≈700-800</w:t>
            </w:r>
          </w:p>
        </w:tc>
        <w:tc>
          <w:tcPr>
            <w:tcW w:type="dxa" w:w="2256"/>
          </w:tcPr>
          <w:p>
            <w:pPr>
              <w:spacing w:after="40" w:before="40"/>
              <w:jc w:val="left"/>
            </w:pPr>
            <w:r>
              <w:rPr>
                <w:rFonts w:ascii="Cambria" w:hAnsi="Cambria" w:cs="Cambria" w:eastAsia="Cambria"/>
                <w:sz w:val="19"/>
              </w:rPr>
              <w:t>≈€55,000</w:t>
            </w:r>
          </w:p>
        </w:tc>
        <w:tc>
          <w:tcPr>
            <w:tcW w:type="dxa" w:w="2256"/>
          </w:tcPr>
          <w:p>
            <w:pPr>
              <w:spacing w:after="40" w:before="40"/>
              <w:jc w:val="left"/>
            </w:pPr>
            <w:r>
              <w:rPr>
                <w:rFonts w:ascii="Cambria" w:hAnsi="Cambria" w:cs="Cambria" w:eastAsia="Cambria"/>
                <w:sz w:val="19"/>
              </w:rPr>
              <w:t>≈€38-41 million</w:t>
            </w:r>
          </w:p>
        </w:tc>
      </w:tr>
      <w:tr>
        <w:tc>
          <w:tcPr>
            <w:tcW w:type="dxa" w:w="2256"/>
          </w:tcPr>
          <w:p>
            <w:pPr>
              <w:spacing w:after="40" w:before="40"/>
              <w:jc w:val="left"/>
            </w:pPr>
            <w:r>
              <w:rPr>
                <w:rFonts w:ascii="Cambria" w:hAnsi="Cambria" w:cs="Cambria" w:eastAsia="Cambria"/>
                <w:sz w:val="19"/>
              </w:rPr>
              <w:t>Expansive</w:t>
            </w:r>
          </w:p>
        </w:tc>
        <w:tc>
          <w:tcPr>
            <w:tcW w:type="dxa" w:w="2256"/>
          </w:tcPr>
          <w:p>
            <w:pPr>
              <w:spacing w:after="40" w:before="40"/>
              <w:jc w:val="left"/>
            </w:pPr>
            <w:r>
              <w:rPr>
                <w:rFonts w:ascii="Cambria" w:hAnsi="Cambria" w:cs="Cambria" w:eastAsia="Cambria"/>
                <w:sz w:val="19"/>
              </w:rPr>
              <w:t>≈900</w:t>
            </w:r>
          </w:p>
        </w:tc>
        <w:tc>
          <w:tcPr>
            <w:tcW w:type="dxa" w:w="2256"/>
          </w:tcPr>
          <w:p>
            <w:pPr>
              <w:spacing w:after="40" w:before="40"/>
              <w:jc w:val="left"/>
            </w:pPr>
            <w:r>
              <w:rPr>
                <w:rFonts w:ascii="Cambria" w:hAnsi="Cambria" w:cs="Cambria" w:eastAsia="Cambria"/>
                <w:sz w:val="19"/>
              </w:rPr>
              <w:t>≈€55,000</w:t>
            </w:r>
          </w:p>
        </w:tc>
        <w:tc>
          <w:tcPr>
            <w:tcW w:type="dxa" w:w="2256"/>
          </w:tcPr>
          <w:p>
            <w:pPr>
              <w:spacing w:after="40" w:before="40"/>
              <w:jc w:val="left"/>
            </w:pPr>
            <w:r>
              <w:rPr>
                <w:rFonts w:ascii="Cambria" w:hAnsi="Cambria" w:cs="Cambria" w:eastAsia="Cambria"/>
                <w:sz w:val="19"/>
              </w:rPr>
              <w:t>≈€50 million</w:t>
            </w:r>
          </w:p>
        </w:tc>
      </w:tr>
    </w:tbl>
    <w:p/>
    <w:p>
      <w:pPr>
        <w:pStyle w:val="Heading2"/>
      </w:pPr>
      <w:r>
        <w:rPr>
          <w:rFonts w:ascii="Cambria" w:hAnsi="Cambria" w:cs="Cambria" w:eastAsia="Cambria"/>
        </w:rPr>
        <w:t>4.4. Disaggregation of direct cost items (standard scenario, 800 FTE)</w:t>
      </w:r>
    </w:p>
    <w:p>
      <w:r>
        <w:rPr>
          <w:rFonts w:ascii="Cambria" w:hAnsi="Cambria" w:cs="Cambria" w:eastAsia="Cambria"/>
        </w:rPr>
        <w:t>The direct cost of the base model, at steady state and full coverage, falls in the order of €40 million per year, within a range of €38 to 41 million</w:t>
      </w:r>
      <w:r>
        <w:rPr>
          <w:rStyle w:val="FootnoteReference"/>
        </w:rPr>
        <w:footnoteReference w:id="36"/>
      </w:r>
      <w:r>
        <w:rPr>
          <w:rFonts w:ascii="Cambria" w:hAnsi="Cambria" w:cs="Cambria" w:eastAsia="Cambria"/>
        </w:rPr>
        <w:t>. The predominant item is the cost of clinical staff, followed by administrative support staff, training and supervision, governance and coordination, information systems and telepsychology, hardware together with its depreciation share, and audit and quality assurance.</w:t>
      </w:r>
    </w:p>
    <w:p>
      <w:r>
        <w:rPr>
          <w:rFonts w:ascii="Cambria" w:hAnsi="Cambria" w:cs="Cambria" w:eastAsia="Cambria"/>
        </w:rPr>
        <w:t>Tab. 4.3 — Disaggregation of annual direct costs (standard scenario, 800 FTE)</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09"/>
        <w:gridCol w:w="3009"/>
        <w:gridCol w:w="3009"/>
      </w:tblGrid>
      <w:tr>
        <w:tc>
          <w:tcPr>
            <w:tcW w:type="dxa" w:w="3009"/>
            <w:shd w:val="clear" w:color="auto" w:fill="16264B"/>
          </w:tcPr>
          <w:p>
            <w:pPr>
              <w:spacing w:after="40" w:before="40"/>
              <w:jc w:val="left"/>
            </w:pPr>
            <w:r>
              <w:rPr>
                <w:rFonts w:ascii="Cambria" w:hAnsi="Cambria" w:cs="Cambria" w:eastAsia="Cambria"/>
                <w:b/>
                <w:color w:val="FFFFFF"/>
                <w:sz w:val="19"/>
              </w:rPr>
              <w:t>Cost item</w:t>
            </w:r>
          </w:p>
        </w:tc>
        <w:tc>
          <w:tcPr>
            <w:tcW w:type="dxa" w:w="3009"/>
            <w:shd w:val="clear" w:color="auto" w:fill="16264B"/>
          </w:tcPr>
          <w:p>
            <w:pPr>
              <w:spacing w:after="40" w:before="40"/>
              <w:jc w:val="left"/>
            </w:pPr>
            <w:r>
              <w:rPr>
                <w:rFonts w:ascii="Cambria" w:hAnsi="Cambria" w:cs="Cambria" w:eastAsia="Cambria"/>
                <w:b/>
                <w:color w:val="FFFFFF"/>
                <w:sz w:val="19"/>
              </w:rPr>
              <w:t>Annual amount</w:t>
            </w:r>
          </w:p>
        </w:tc>
        <w:tc>
          <w:tcPr>
            <w:tcW w:type="dxa" w:w="3009"/>
            <w:shd w:val="clear" w:color="auto" w:fill="16264B"/>
          </w:tcPr>
          <w:p>
            <w:pPr>
              <w:spacing w:after="40" w:before="40"/>
              <w:jc w:val="left"/>
            </w:pPr>
            <w:r>
              <w:rPr>
                <w:rFonts w:ascii="Cambria" w:hAnsi="Cambria" w:cs="Cambria" w:eastAsia="Cambria"/>
                <w:b/>
                <w:color w:val="FFFFFF"/>
                <w:sz w:val="19"/>
              </w:rPr>
              <w:t>Share</w:t>
            </w:r>
          </w:p>
        </w:tc>
      </w:tr>
      <w:tr>
        <w:tc>
          <w:tcPr>
            <w:tcW w:type="dxa" w:w="3009"/>
          </w:tcPr>
          <w:p>
            <w:pPr>
              <w:spacing w:after="40" w:before="40"/>
              <w:jc w:val="left"/>
            </w:pPr>
            <w:r>
              <w:rPr>
                <w:rFonts w:ascii="Cambria" w:hAnsi="Cambria" w:cs="Cambria" w:eastAsia="Cambria"/>
                <w:sz w:val="19"/>
              </w:rPr>
              <w:t>Clinical staff (800 FTE)</w:t>
            </w:r>
          </w:p>
        </w:tc>
        <w:tc>
          <w:tcPr>
            <w:tcW w:type="dxa" w:w="3009"/>
          </w:tcPr>
          <w:p>
            <w:pPr>
              <w:spacing w:after="40" w:before="40"/>
              <w:jc w:val="left"/>
            </w:pPr>
            <w:r>
              <w:rPr>
                <w:rFonts w:ascii="Cambria" w:hAnsi="Cambria" w:cs="Cambria" w:eastAsia="Cambria"/>
                <w:sz w:val="19"/>
              </w:rPr>
              <w:t>≈€30.9 million</w:t>
            </w:r>
          </w:p>
        </w:tc>
        <w:tc>
          <w:tcPr>
            <w:tcW w:type="dxa" w:w="3009"/>
          </w:tcPr>
          <w:p>
            <w:pPr>
              <w:spacing w:after="40" w:before="40"/>
              <w:jc w:val="left"/>
            </w:pPr>
            <w:r>
              <w:rPr>
                <w:rFonts w:ascii="Cambria" w:hAnsi="Cambria" w:cs="Cambria" w:eastAsia="Cambria"/>
                <w:sz w:val="19"/>
              </w:rPr>
              <w:t>≈79.5%</w:t>
            </w:r>
          </w:p>
        </w:tc>
      </w:tr>
      <w:tr>
        <w:tc>
          <w:tcPr>
            <w:tcW w:type="dxa" w:w="3009"/>
          </w:tcPr>
          <w:p>
            <w:pPr>
              <w:spacing w:after="40" w:before="40"/>
              <w:jc w:val="left"/>
            </w:pPr>
            <w:r>
              <w:rPr>
                <w:rFonts w:ascii="Cambria" w:hAnsi="Cambria" w:cs="Cambria" w:eastAsia="Cambria"/>
                <w:sz w:val="19"/>
              </w:rPr>
              <w:t>Administrative support staff</w:t>
            </w:r>
          </w:p>
        </w:tc>
        <w:tc>
          <w:tcPr>
            <w:tcW w:type="dxa" w:w="3009"/>
          </w:tcPr>
          <w:p>
            <w:pPr>
              <w:spacing w:after="40" w:before="40"/>
              <w:jc w:val="left"/>
            </w:pPr>
            <w:r>
              <w:rPr>
                <w:rFonts w:ascii="Cambria" w:hAnsi="Cambria" w:cs="Cambria" w:eastAsia="Cambria"/>
                <w:sz w:val="19"/>
              </w:rPr>
              <w:t>≈€4.2 million</w:t>
            </w:r>
          </w:p>
        </w:tc>
        <w:tc>
          <w:tcPr>
            <w:tcW w:type="dxa" w:w="3009"/>
          </w:tcPr>
          <w:p>
            <w:pPr>
              <w:spacing w:after="40" w:before="40"/>
              <w:jc w:val="left"/>
            </w:pPr>
            <w:r>
              <w:rPr>
                <w:rFonts w:ascii="Cambria" w:hAnsi="Cambria" w:cs="Cambria" w:eastAsia="Cambria"/>
                <w:sz w:val="19"/>
              </w:rPr>
              <w:t>≈10.8%</w:t>
            </w:r>
          </w:p>
        </w:tc>
      </w:tr>
      <w:tr>
        <w:tc>
          <w:tcPr>
            <w:tcW w:type="dxa" w:w="3009"/>
          </w:tcPr>
          <w:p>
            <w:pPr>
              <w:spacing w:after="40" w:before="40"/>
              <w:jc w:val="left"/>
            </w:pPr>
            <w:r>
              <w:rPr>
                <w:rFonts w:ascii="Cambria" w:hAnsi="Cambria" w:cs="Cambria" w:eastAsia="Cambria"/>
                <w:sz w:val="19"/>
              </w:rPr>
              <w:t>Joint GP-Psychologist-MHC training</w:t>
            </w:r>
          </w:p>
        </w:tc>
        <w:tc>
          <w:tcPr>
            <w:tcW w:type="dxa" w:w="3009"/>
          </w:tcPr>
          <w:p>
            <w:pPr>
              <w:spacing w:after="40" w:before="40"/>
              <w:jc w:val="left"/>
            </w:pPr>
            <w:r>
              <w:rPr>
                <w:rFonts w:ascii="Cambria" w:hAnsi="Cambria" w:cs="Cambria" w:eastAsia="Cambria"/>
                <w:sz w:val="19"/>
              </w:rPr>
              <w:t>≈€1.0 million</w:t>
            </w:r>
          </w:p>
        </w:tc>
        <w:tc>
          <w:tcPr>
            <w:tcW w:type="dxa" w:w="3009"/>
          </w:tcPr>
          <w:p>
            <w:pPr>
              <w:spacing w:after="40" w:before="40"/>
              <w:jc w:val="left"/>
            </w:pPr>
            <w:r>
              <w:rPr>
                <w:rFonts w:ascii="Cambria" w:hAnsi="Cambria" w:cs="Cambria" w:eastAsia="Cambria"/>
                <w:sz w:val="19"/>
              </w:rPr>
              <w:t>≈2.6%</w:t>
            </w:r>
          </w:p>
        </w:tc>
      </w:tr>
      <w:tr>
        <w:tc>
          <w:tcPr>
            <w:tcW w:type="dxa" w:w="3009"/>
          </w:tcPr>
          <w:p>
            <w:pPr>
              <w:spacing w:after="40" w:before="40"/>
              <w:jc w:val="left"/>
            </w:pPr>
            <w:r>
              <w:rPr>
                <w:rFonts w:ascii="Cambria" w:hAnsi="Cambria" w:cs="Cambria" w:eastAsia="Cambria"/>
                <w:sz w:val="19"/>
              </w:rPr>
              <w:t>Continuing education (ECM) / clinical supervision</w:t>
            </w:r>
          </w:p>
        </w:tc>
        <w:tc>
          <w:tcPr>
            <w:tcW w:type="dxa" w:w="3009"/>
          </w:tcPr>
          <w:p>
            <w:pPr>
              <w:spacing w:after="40" w:before="40"/>
              <w:jc w:val="left"/>
            </w:pPr>
            <w:r>
              <w:rPr>
                <w:rFonts w:ascii="Cambria" w:hAnsi="Cambria" w:cs="Cambria" w:eastAsia="Cambria"/>
                <w:sz w:val="19"/>
              </w:rPr>
              <w:t>≈€1.28 million</w:t>
            </w:r>
          </w:p>
        </w:tc>
        <w:tc>
          <w:tcPr>
            <w:tcW w:type="dxa" w:w="3009"/>
          </w:tcPr>
          <w:p>
            <w:pPr>
              <w:spacing w:after="40" w:before="40"/>
              <w:jc w:val="left"/>
            </w:pPr>
            <w:r>
              <w:rPr>
                <w:rFonts w:ascii="Cambria" w:hAnsi="Cambria" w:cs="Cambria" w:eastAsia="Cambria"/>
                <w:sz w:val="19"/>
              </w:rPr>
              <w:t>≈3.3%</w:t>
            </w:r>
          </w:p>
        </w:tc>
      </w:tr>
      <w:tr>
        <w:tc>
          <w:tcPr>
            <w:tcW w:type="dxa" w:w="3009"/>
          </w:tcPr>
          <w:p>
            <w:pPr>
              <w:spacing w:after="40" w:before="40"/>
              <w:jc w:val="left"/>
            </w:pPr>
            <w:r>
              <w:rPr>
                <w:rFonts w:ascii="Cambria" w:hAnsi="Cambria" w:cs="Cambria" w:eastAsia="Cambria"/>
                <w:sz w:val="19"/>
              </w:rPr>
              <w:t>IT systems and telepsychology</w:t>
            </w:r>
          </w:p>
        </w:tc>
        <w:tc>
          <w:tcPr>
            <w:tcW w:type="dxa" w:w="3009"/>
          </w:tcPr>
          <w:p>
            <w:pPr>
              <w:spacing w:after="40" w:before="40"/>
              <w:jc w:val="left"/>
            </w:pPr>
            <w:r>
              <w:rPr>
                <w:rFonts w:ascii="Cambria" w:hAnsi="Cambria" w:cs="Cambria" w:eastAsia="Cambria"/>
                <w:sz w:val="19"/>
              </w:rPr>
              <w:t>≈€0.57 million</w:t>
            </w:r>
          </w:p>
        </w:tc>
        <w:tc>
          <w:tcPr>
            <w:tcW w:type="dxa" w:w="3009"/>
          </w:tcPr>
          <w:p>
            <w:pPr>
              <w:spacing w:after="40" w:before="40"/>
              <w:jc w:val="left"/>
            </w:pPr>
            <w:r>
              <w:rPr>
                <w:rFonts w:ascii="Cambria" w:hAnsi="Cambria" w:cs="Cambria" w:eastAsia="Cambria"/>
                <w:sz w:val="19"/>
              </w:rPr>
              <w:t>≈1.5%</w:t>
            </w:r>
          </w:p>
        </w:tc>
      </w:tr>
      <w:tr>
        <w:tc>
          <w:tcPr>
            <w:tcW w:type="dxa" w:w="3009"/>
          </w:tcPr>
          <w:p>
            <w:pPr>
              <w:spacing w:after="40" w:before="40"/>
              <w:jc w:val="left"/>
            </w:pPr>
            <w:r>
              <w:rPr>
                <w:rFonts w:ascii="Cambria" w:hAnsi="Cambria" w:cs="Cambria" w:eastAsia="Cambria"/>
                <w:sz w:val="19"/>
              </w:rPr>
              <w:t>Governance and coordination</w:t>
            </w:r>
          </w:p>
        </w:tc>
        <w:tc>
          <w:tcPr>
            <w:tcW w:type="dxa" w:w="3009"/>
          </w:tcPr>
          <w:p>
            <w:pPr>
              <w:spacing w:after="40" w:before="40"/>
              <w:jc w:val="left"/>
            </w:pPr>
            <w:r>
              <w:rPr>
                <w:rFonts w:ascii="Cambria" w:hAnsi="Cambria" w:cs="Cambria" w:eastAsia="Cambria"/>
                <w:sz w:val="19"/>
              </w:rPr>
              <w:t>≈€0.41 million</w:t>
            </w:r>
          </w:p>
        </w:tc>
        <w:tc>
          <w:tcPr>
            <w:tcW w:type="dxa" w:w="3009"/>
          </w:tcPr>
          <w:p>
            <w:pPr>
              <w:spacing w:after="40" w:before="40"/>
              <w:jc w:val="left"/>
            </w:pPr>
            <w:r>
              <w:rPr>
                <w:rFonts w:ascii="Cambria" w:hAnsi="Cambria" w:cs="Cambria" w:eastAsia="Cambria"/>
                <w:sz w:val="19"/>
              </w:rPr>
              <w:t>≈1.1%</w:t>
            </w:r>
          </w:p>
        </w:tc>
      </w:tr>
      <w:tr>
        <w:tc>
          <w:tcPr>
            <w:tcW w:type="dxa" w:w="3009"/>
          </w:tcPr>
          <w:p>
            <w:pPr>
              <w:spacing w:after="40" w:before="40"/>
              <w:jc w:val="left"/>
            </w:pPr>
            <w:r>
              <w:rPr>
                <w:rFonts w:ascii="Cambria" w:hAnsi="Cambria" w:cs="Cambria" w:eastAsia="Cambria"/>
                <w:sz w:val="19"/>
              </w:rPr>
              <w:t>Hardware (five-year depreciation)</w:t>
            </w:r>
          </w:p>
        </w:tc>
        <w:tc>
          <w:tcPr>
            <w:tcW w:type="dxa" w:w="3009"/>
          </w:tcPr>
          <w:p>
            <w:pPr>
              <w:spacing w:after="40" w:before="40"/>
              <w:jc w:val="left"/>
            </w:pPr>
            <w:r>
              <w:rPr>
                <w:rFonts w:ascii="Cambria" w:hAnsi="Cambria" w:cs="Cambria" w:eastAsia="Cambria"/>
                <w:sz w:val="19"/>
              </w:rPr>
              <w:t>≈€0.40 million</w:t>
            </w:r>
          </w:p>
        </w:tc>
        <w:tc>
          <w:tcPr>
            <w:tcW w:type="dxa" w:w="3009"/>
          </w:tcPr>
          <w:p>
            <w:pPr>
              <w:spacing w:after="40" w:before="40"/>
              <w:jc w:val="left"/>
            </w:pPr>
            <w:r>
              <w:rPr>
                <w:rFonts w:ascii="Cambria" w:hAnsi="Cambria" w:cs="Cambria" w:eastAsia="Cambria"/>
                <w:sz w:val="19"/>
              </w:rPr>
              <w:t>≈1.0%</w:t>
            </w:r>
          </w:p>
        </w:tc>
      </w:tr>
      <w:tr>
        <w:tc>
          <w:tcPr>
            <w:tcW w:type="dxa" w:w="3009"/>
          </w:tcPr>
          <w:p>
            <w:pPr>
              <w:spacing w:after="40" w:before="40"/>
              <w:jc w:val="left"/>
            </w:pPr>
            <w:r>
              <w:rPr>
                <w:rFonts w:ascii="Cambria" w:hAnsi="Cambria" w:cs="Cambria" w:eastAsia="Cambria"/>
                <w:sz w:val="19"/>
              </w:rPr>
              <w:t>Audit and quality assurance</w:t>
            </w:r>
          </w:p>
        </w:tc>
        <w:tc>
          <w:tcPr>
            <w:tcW w:type="dxa" w:w="3009"/>
          </w:tcPr>
          <w:p>
            <w:pPr>
              <w:spacing w:after="40" w:before="40"/>
              <w:jc w:val="left"/>
            </w:pPr>
            <w:r>
              <w:rPr>
                <w:rFonts w:ascii="Cambria" w:hAnsi="Cambria" w:cs="Cambria" w:eastAsia="Cambria"/>
                <w:sz w:val="19"/>
              </w:rPr>
              <w:t>≈€0.075 million</w:t>
            </w:r>
          </w:p>
        </w:tc>
        <w:tc>
          <w:tcPr>
            <w:tcW w:type="dxa" w:w="3009"/>
          </w:tcPr>
          <w:p>
            <w:pPr>
              <w:spacing w:after="40" w:before="40"/>
              <w:jc w:val="left"/>
            </w:pPr>
            <w:r>
              <w:rPr>
                <w:rFonts w:ascii="Cambria" w:hAnsi="Cambria" w:cs="Cambria" w:eastAsia="Cambria"/>
                <w:sz w:val="19"/>
              </w:rPr>
              <w:t>≈0.2%</w:t>
            </w:r>
          </w:p>
        </w:tc>
      </w:tr>
      <w:tr>
        <w:tc>
          <w:tcPr>
            <w:tcW w:type="dxa" w:w="3009"/>
          </w:tcPr>
          <w:p>
            <w:pPr>
              <w:spacing w:after="40" w:before="40"/>
              <w:jc w:val="left"/>
            </w:pPr>
            <w:r>
              <w:rPr>
                <w:rFonts w:ascii="Cambria" w:hAnsi="Cambria" w:cs="Cambria" w:eastAsia="Cambria"/>
                <w:sz w:val="19"/>
              </w:rPr>
              <w:t>Total annual direct costs</w:t>
            </w:r>
          </w:p>
        </w:tc>
        <w:tc>
          <w:tcPr>
            <w:tcW w:type="dxa" w:w="3009"/>
          </w:tcPr>
          <w:p>
            <w:pPr>
              <w:spacing w:after="40" w:before="40"/>
              <w:jc w:val="left"/>
            </w:pPr>
            <w:r>
              <w:rPr>
                <w:rFonts w:ascii="Cambria" w:hAnsi="Cambria" w:cs="Cambria" w:eastAsia="Cambria"/>
                <w:sz w:val="19"/>
              </w:rPr>
              <w:t>≈€38.8 million</w:t>
            </w:r>
          </w:p>
        </w:tc>
        <w:tc>
          <w:tcPr>
            <w:tcW w:type="dxa" w:w="3009"/>
          </w:tcPr>
          <w:p>
            <w:pPr>
              <w:spacing w:after="40" w:before="40"/>
              <w:jc w:val="left"/>
            </w:pPr>
            <w:r>
              <w:rPr>
                <w:rFonts w:ascii="Cambria" w:hAnsi="Cambria" w:cs="Cambria" w:eastAsia="Cambria"/>
                <w:sz w:val="19"/>
              </w:rPr>
              <w:t>100%</w:t>
            </w:r>
          </w:p>
        </w:tc>
      </w:tr>
    </w:tbl>
    <w:p/>
    <w:p>
      <w:pPr>
        <w:pStyle w:val="Heading2"/>
      </w:pPr>
      <w:r>
        <w:rPr>
          <w:rFonts w:ascii="Cambria" w:hAnsi="Cambria" w:cs="Cambria" w:eastAsia="Cambria"/>
        </w:rPr>
        <w:t>4.5. Average cost per psychologist and international positioning</w:t>
      </w:r>
    </w:p>
    <w:p>
      <w:r>
        <w:rPr>
          <w:rFonts w:ascii="Cambria" w:hAnsi="Cambria" w:cs="Cambria" w:eastAsia="Cambria"/>
        </w:rPr>
        <w:t>The average cost per FTE psychologist falls between €48,300 and €48,500/year (more than €52,000 including a 7.5% contingency margin), remaining below the full values of the Dutch POH-GGZ models and in line with the British IAPT experience. The cost per inhabitant is only €10-12/year. A non-negligible share of the budget is allocated to training, supervision, information systems and governance — that is, to factors that the literature identifies as determinants of favourable clinical and organisational outcomes.</w:t>
      </w:r>
    </w:p>
    <w:p>
      <w:pPr>
        <w:pStyle w:val="Heading2"/>
      </w:pPr>
      <w:r>
        <w:rPr>
          <w:rFonts w:ascii="Cambria" w:hAnsi="Cambria" w:cs="Cambria" w:eastAsia="Cambria"/>
        </w:rPr>
        <w:t>4.6. The dedicated budget for joint training</w:t>
      </w:r>
    </w:p>
    <w:p>
      <w:r>
        <w:rPr>
          <w:rFonts w:ascii="Cambria" w:hAnsi="Cambria" w:cs="Cambria" w:eastAsia="Cambria"/>
        </w:rPr>
        <w:t xml:space="preserve">The introduction of a dedicated budget of €1,000,000 per year for joint GP-Psychologist-Mental Health Centre training is consistent with international best practice on </w:t>
      </w:r>
      <w:r>
        <w:rPr>
          <w:rFonts w:ascii="Cambria" w:hAnsi="Cambria" w:cs="Cambria" w:eastAsia="Cambria"/>
          <w:i/>
        </w:rPr>
        <w:t>collaborative care</w:t>
      </w:r>
      <w:r>
        <w:rPr>
          <w:rFonts w:ascii="Cambria" w:hAnsi="Cambria" w:cs="Cambria" w:eastAsia="Cambria"/>
        </w:rPr>
        <w:t>, ensures the synergy of the GP-psychologist pairing, and fosters integration with the Mental Health Centres without producing disproportionate increases in overall costs</w:t>
      </w:r>
      <w:r>
        <w:rPr>
          <w:rStyle w:val="FootnoteReference"/>
        </w:rPr>
        <w:footnoteReference w:id="37"/>
      </w:r>
      <w:r>
        <w:rPr>
          <w:rFonts w:ascii="Cambria" w:hAnsi="Cambria" w:cs="Cambria" w:eastAsia="Cambria"/>
        </w:rPr>
        <w:t>. The target population for training consists of the approximately 3,000 GPs operating in Apulia and the 800-900 planned primary care psychologists, for a total in the order of 3,800 professionals. The cost of the integrated training programme, at steady state, falls in the order of €4 million per year, with a higher start-up cost (€6-7 million) in the first year.</w:t>
      </w:r>
    </w:p>
    <w:p>
      <w:pPr>
        <w:pStyle w:val="Heading2"/>
      </w:pPr>
      <w:r>
        <w:rPr>
          <w:rFonts w:ascii="Cambria" w:hAnsi="Cambria" w:cs="Cambria" w:eastAsia="Cambria"/>
        </w:rPr>
        <w:t>4.7. The adoption curve and start-up phase costs</w:t>
      </w:r>
    </w:p>
    <w:p>
      <w:r>
        <w:rPr>
          <w:rFonts w:ascii="Cambria" w:hAnsi="Cambria" w:cs="Cambria" w:eastAsia="Cambria"/>
        </w:rPr>
        <w:t>The service follows an adoption curve that takes coverage from approximately 30% in the first year to full steady state from the fifth year onward, a progression that reflects the time required for staff recruitment and training, the adaptation of information systems, and operational integration with general practice and specialist services. During the start-up phase, one-off initial-provisioning costs (hardware, information systems, intensive training) are concentrated in the first twenty-four months.</w:t>
      </w:r>
    </w:p>
    <w:p>
      <w:r>
        <w:rPr>
          <w:rFonts w:ascii="Cambria" w:hAnsi="Cambria" w:cs="Cambria" w:eastAsia="Cambria"/>
        </w:rPr>
        <w:t>Tab. 4.4 — Adoption curve and direct costs by phase (constant euros)</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2256"/>
        <w:gridCol w:w="2256"/>
        <w:gridCol w:w="2256"/>
        <w:gridCol w:w="2256"/>
      </w:tblGrid>
      <w:tr>
        <w:tc>
          <w:tcPr>
            <w:tcW w:type="dxa" w:w="2256"/>
            <w:shd w:val="clear" w:color="auto" w:fill="16264B"/>
          </w:tcPr>
          <w:p>
            <w:pPr>
              <w:spacing w:after="40" w:before="40"/>
              <w:jc w:val="left"/>
            </w:pPr>
            <w:r>
              <w:rPr>
                <w:rFonts w:ascii="Cambria" w:hAnsi="Cambria" w:cs="Cambria" w:eastAsia="Cambria"/>
                <w:b/>
                <w:color w:val="FFFFFF"/>
                <w:sz w:val="19"/>
              </w:rPr>
              <w:t>Year</w:t>
            </w:r>
          </w:p>
        </w:tc>
        <w:tc>
          <w:tcPr>
            <w:tcW w:type="dxa" w:w="2256"/>
            <w:shd w:val="clear" w:color="auto" w:fill="16264B"/>
          </w:tcPr>
          <w:p>
            <w:pPr>
              <w:spacing w:after="40" w:before="40"/>
              <w:jc w:val="left"/>
            </w:pPr>
            <w:r>
              <w:rPr>
                <w:rFonts w:ascii="Cambria" w:hAnsi="Cambria" w:cs="Cambria" w:eastAsia="Cambria"/>
                <w:b/>
                <w:color w:val="FFFFFF"/>
                <w:sz w:val="19"/>
              </w:rPr>
              <w:t>Coverage</w:t>
            </w:r>
          </w:p>
        </w:tc>
        <w:tc>
          <w:tcPr>
            <w:tcW w:type="dxa" w:w="2256"/>
            <w:shd w:val="clear" w:color="auto" w:fill="16264B"/>
          </w:tcPr>
          <w:p>
            <w:pPr>
              <w:spacing w:after="40" w:before="40"/>
              <w:jc w:val="left"/>
            </w:pPr>
            <w:r>
              <w:rPr>
                <w:rFonts w:ascii="Cambria" w:hAnsi="Cambria" w:cs="Cambria" w:eastAsia="Cambria"/>
                <w:b/>
                <w:color w:val="FFFFFF"/>
                <w:sz w:val="19"/>
              </w:rPr>
              <w:t>Psychologists (≈)</w:t>
            </w:r>
          </w:p>
        </w:tc>
        <w:tc>
          <w:tcPr>
            <w:tcW w:type="dxa" w:w="2256"/>
            <w:shd w:val="clear" w:color="auto" w:fill="16264B"/>
          </w:tcPr>
          <w:p>
            <w:pPr>
              <w:spacing w:after="40" w:before="40"/>
              <w:jc w:val="left"/>
            </w:pPr>
            <w:r>
              <w:rPr>
                <w:rFonts w:ascii="Cambria" w:hAnsi="Cambria" w:cs="Cambria" w:eastAsia="Cambria"/>
                <w:b/>
                <w:color w:val="FFFFFF"/>
                <w:sz w:val="19"/>
              </w:rPr>
              <w:t>Annual direct cost</w:t>
            </w:r>
          </w:p>
        </w:tc>
      </w:tr>
      <w:tr>
        <w:tc>
          <w:tcPr>
            <w:tcW w:type="dxa" w:w="2256"/>
          </w:tcPr>
          <w:p>
            <w:pPr>
              <w:spacing w:after="40" w:before="40"/>
              <w:jc w:val="left"/>
            </w:pPr>
            <w:r>
              <w:rPr>
                <w:rFonts w:ascii="Cambria" w:hAnsi="Cambria" w:cs="Cambria" w:eastAsia="Cambria"/>
                <w:sz w:val="19"/>
              </w:rPr>
              <w:t>Year 1</w:t>
            </w:r>
          </w:p>
        </w:tc>
        <w:tc>
          <w:tcPr>
            <w:tcW w:type="dxa" w:w="2256"/>
          </w:tcPr>
          <w:p>
            <w:pPr>
              <w:spacing w:after="40" w:before="40"/>
              <w:jc w:val="left"/>
            </w:pPr>
            <w:r>
              <w:rPr>
                <w:rFonts w:ascii="Cambria" w:hAnsi="Cambria" w:cs="Cambria" w:eastAsia="Cambria"/>
                <w:sz w:val="19"/>
              </w:rPr>
              <w:t>30%</w:t>
            </w:r>
          </w:p>
        </w:tc>
        <w:tc>
          <w:tcPr>
            <w:tcW w:type="dxa" w:w="2256"/>
          </w:tcPr>
          <w:p>
            <w:pPr>
              <w:spacing w:after="40" w:before="40"/>
              <w:jc w:val="left"/>
            </w:pPr>
            <w:r>
              <w:rPr>
                <w:rFonts w:ascii="Cambria" w:hAnsi="Cambria" w:cs="Cambria" w:eastAsia="Cambria"/>
                <w:sz w:val="19"/>
              </w:rPr>
              <w:t>240</w:t>
            </w:r>
          </w:p>
        </w:tc>
        <w:tc>
          <w:tcPr>
            <w:tcW w:type="dxa" w:w="2256"/>
          </w:tcPr>
          <w:p>
            <w:pPr>
              <w:spacing w:after="40" w:before="40"/>
              <w:jc w:val="left"/>
            </w:pPr>
            <w:r>
              <w:rPr>
                <w:rFonts w:ascii="Cambria" w:hAnsi="Cambria" w:cs="Cambria" w:eastAsia="Cambria"/>
                <w:sz w:val="19"/>
              </w:rPr>
              <w:t>≈€18-20 million</w:t>
            </w:r>
          </w:p>
        </w:tc>
      </w:tr>
      <w:tr>
        <w:tc>
          <w:tcPr>
            <w:tcW w:type="dxa" w:w="2256"/>
          </w:tcPr>
          <w:p>
            <w:pPr>
              <w:spacing w:after="40" w:before="40"/>
              <w:jc w:val="left"/>
            </w:pPr>
            <w:r>
              <w:rPr>
                <w:rFonts w:ascii="Cambria" w:hAnsi="Cambria" w:cs="Cambria" w:eastAsia="Cambria"/>
                <w:sz w:val="19"/>
              </w:rPr>
              <w:t>Year 3</w:t>
            </w:r>
          </w:p>
        </w:tc>
        <w:tc>
          <w:tcPr>
            <w:tcW w:type="dxa" w:w="2256"/>
          </w:tcPr>
          <w:p>
            <w:pPr>
              <w:spacing w:after="40" w:before="40"/>
              <w:jc w:val="left"/>
            </w:pPr>
            <w:r>
              <w:rPr>
                <w:rFonts w:ascii="Cambria" w:hAnsi="Cambria" w:cs="Cambria" w:eastAsia="Cambria"/>
                <w:sz w:val="19"/>
              </w:rPr>
              <w:t>60%</w:t>
            </w:r>
          </w:p>
        </w:tc>
        <w:tc>
          <w:tcPr>
            <w:tcW w:type="dxa" w:w="2256"/>
          </w:tcPr>
          <w:p>
            <w:pPr>
              <w:spacing w:after="40" w:before="40"/>
              <w:jc w:val="left"/>
            </w:pPr>
            <w:r>
              <w:rPr>
                <w:rFonts w:ascii="Cambria" w:hAnsi="Cambria" w:cs="Cambria" w:eastAsia="Cambria"/>
                <w:sz w:val="19"/>
              </w:rPr>
              <w:t>480-500</w:t>
            </w:r>
          </w:p>
        </w:tc>
        <w:tc>
          <w:tcPr>
            <w:tcW w:type="dxa" w:w="2256"/>
          </w:tcPr>
          <w:p>
            <w:pPr>
              <w:spacing w:after="40" w:before="40"/>
              <w:jc w:val="left"/>
            </w:pPr>
            <w:r>
              <w:rPr>
                <w:rFonts w:ascii="Cambria" w:hAnsi="Cambria" w:cs="Cambria" w:eastAsia="Cambria"/>
                <w:sz w:val="19"/>
              </w:rPr>
              <w:t>≈€30-32 million</w:t>
            </w:r>
          </w:p>
        </w:tc>
      </w:tr>
      <w:tr>
        <w:tc>
          <w:tcPr>
            <w:tcW w:type="dxa" w:w="2256"/>
          </w:tcPr>
          <w:p>
            <w:pPr>
              <w:spacing w:after="40" w:before="40"/>
              <w:jc w:val="left"/>
            </w:pPr>
            <w:r>
              <w:rPr>
                <w:rFonts w:ascii="Cambria" w:hAnsi="Cambria" w:cs="Cambria" w:eastAsia="Cambria"/>
                <w:sz w:val="19"/>
              </w:rPr>
              <w:t>Year 5 (steady state)</w:t>
            </w:r>
          </w:p>
        </w:tc>
        <w:tc>
          <w:tcPr>
            <w:tcW w:type="dxa" w:w="2256"/>
          </w:tcPr>
          <w:p>
            <w:pPr>
              <w:spacing w:after="40" w:before="40"/>
              <w:jc w:val="left"/>
            </w:pPr>
            <w:r>
              <w:rPr>
                <w:rFonts w:ascii="Cambria" w:hAnsi="Cambria" w:cs="Cambria" w:eastAsia="Cambria"/>
                <w:sz w:val="19"/>
              </w:rPr>
              <w:t>100%</w:t>
            </w:r>
          </w:p>
        </w:tc>
        <w:tc>
          <w:tcPr>
            <w:tcW w:type="dxa" w:w="2256"/>
          </w:tcPr>
          <w:p>
            <w:pPr>
              <w:spacing w:after="40" w:before="40"/>
              <w:jc w:val="left"/>
            </w:pPr>
            <w:r>
              <w:rPr>
                <w:rFonts w:ascii="Cambria" w:hAnsi="Cambria" w:cs="Cambria" w:eastAsia="Cambria"/>
                <w:sz w:val="19"/>
              </w:rPr>
              <w:t>800</w:t>
            </w:r>
          </w:p>
        </w:tc>
        <w:tc>
          <w:tcPr>
            <w:tcW w:type="dxa" w:w="2256"/>
          </w:tcPr>
          <w:p>
            <w:pPr>
              <w:spacing w:after="40" w:before="40"/>
              <w:jc w:val="left"/>
            </w:pPr>
            <w:r>
              <w:rPr>
                <w:rFonts w:ascii="Cambria" w:hAnsi="Cambria" w:cs="Cambria" w:eastAsia="Cambria"/>
                <w:sz w:val="19"/>
              </w:rPr>
              <w:t>≈€38-41 million</w:t>
            </w:r>
          </w:p>
        </w:tc>
      </w:tr>
      <w:tr>
        <w:tc>
          <w:tcPr>
            <w:tcW w:type="dxa" w:w="2256"/>
          </w:tcPr>
          <w:p>
            <w:pPr>
              <w:spacing w:after="40" w:before="40"/>
              <w:jc w:val="left"/>
            </w:pPr>
            <w:r>
              <w:rPr>
                <w:rFonts w:ascii="Cambria" w:hAnsi="Cambria" w:cs="Cambria" w:eastAsia="Cambria"/>
                <w:sz w:val="19"/>
              </w:rPr>
              <w:t>Year 10</w:t>
            </w:r>
          </w:p>
        </w:tc>
        <w:tc>
          <w:tcPr>
            <w:tcW w:type="dxa" w:w="2256"/>
          </w:tcPr>
          <w:p>
            <w:pPr>
              <w:spacing w:after="40" w:before="40"/>
              <w:jc w:val="left"/>
            </w:pPr>
            <w:r>
              <w:rPr>
                <w:rFonts w:ascii="Cambria" w:hAnsi="Cambria" w:cs="Cambria" w:eastAsia="Cambria"/>
                <w:sz w:val="19"/>
              </w:rPr>
              <w:t>100%</w:t>
            </w:r>
          </w:p>
        </w:tc>
        <w:tc>
          <w:tcPr>
            <w:tcW w:type="dxa" w:w="2256"/>
          </w:tcPr>
          <w:p>
            <w:pPr>
              <w:spacing w:after="40" w:before="40"/>
              <w:jc w:val="left"/>
            </w:pPr>
            <w:r>
              <w:rPr>
                <w:rFonts w:ascii="Cambria" w:hAnsi="Cambria" w:cs="Cambria" w:eastAsia="Cambria"/>
                <w:sz w:val="19"/>
              </w:rPr>
              <w:t>800</w:t>
            </w:r>
          </w:p>
        </w:tc>
        <w:tc>
          <w:tcPr>
            <w:tcW w:type="dxa" w:w="2256"/>
          </w:tcPr>
          <w:p>
            <w:pPr>
              <w:spacing w:after="40" w:before="40"/>
              <w:jc w:val="left"/>
            </w:pPr>
            <w:r>
              <w:rPr>
                <w:rFonts w:ascii="Cambria" w:hAnsi="Cambria" w:cs="Cambria" w:eastAsia="Cambria"/>
                <w:sz w:val="19"/>
              </w:rPr>
              <w:t>≈€40 million (real terms)</w:t>
            </w:r>
          </w:p>
        </w:tc>
      </w:tr>
    </w:tbl>
    <w:p/>
    <w:p>
      <w:pPr>
        <w:pStyle w:val="Heading2"/>
      </w:pPr>
      <w:r>
        <w:rPr>
          <w:rFonts w:ascii="Cambria" w:hAnsi="Cambria" w:cs="Cambria" w:eastAsia="Cambria"/>
        </w:rPr>
        <w:t>4.8. Sources of financial coverage</w:t>
      </w:r>
    </w:p>
    <w:p>
      <w:r>
        <w:rPr>
          <w:rFonts w:ascii="Cambria" w:hAnsi="Cambria" w:cs="Cambria" w:eastAsia="Cambria"/>
        </w:rPr>
        <w:t>Funding sources are multiple and complementary: ordinary Regional Health Service funding as the principal source at steady state; PNRR Mission 6 for territorial and digital infrastructure during the start-up phase; national mental health funds; the reinvestment, at steady state, of a share of the direct savings generated by the service itself; and cross-sectoral agreements with the welfare, disability and productivity sectors</w:t>
      </w:r>
      <w:r>
        <w:rPr>
          <w:rStyle w:val="FootnoteReference"/>
        </w:rPr>
        <w:footnoteReference w:id="38"/>
      </w:r>
      <w:r>
        <w:rPr>
          <w:rFonts w:ascii="Cambria" w:hAnsi="Cambria" w:cs="Cambria" w:eastAsia="Cambria"/>
        </w:rPr>
        <w:t>. Financial coverage is analysed in detail in the technical-financial report: the Region, running a deficit and subject to recovery-plan constraints, must identify coverage within the health budget, recognising that the current allocation of €1.5 million is commensurate with a symbolic service, not a steady-state one.</w:t>
      </w:r>
    </w:p>
    <w:p>
      <w:pPr>
        <w:pStyle w:val="Heading2"/>
      </w:pPr>
      <w:r>
        <w:rPr>
          <w:rFonts w:ascii="Cambria" w:hAnsi="Cambria" w:cs="Cambria" w:eastAsia="Cambria"/>
        </w:rPr>
        <w:t>4.9. Summary conclusions of Chapter IV</w:t>
      </w:r>
    </w:p>
    <w:p>
      <w:r>
        <w:rPr>
          <w:rFonts w:ascii="Cambria" w:hAnsi="Cambria" w:cs="Cambria" w:eastAsia="Cambria"/>
        </w:rPr>
        <w:t xml:space="preserve">The </w:t>
      </w:r>
      <w:r>
        <w:rPr>
          <w:rFonts w:ascii="Cambria" w:hAnsi="Cambria" w:cs="Cambria" w:eastAsia="Cambria"/>
          <w:i/>
        </w:rPr>
        <w:t>Primary Care Psychology</w:t>
      </w:r>
      <w:r>
        <w:rPr>
          <w:rFonts w:ascii="Cambria" w:hAnsi="Cambria" w:cs="Cambria" w:eastAsia="Cambria"/>
        </w:rPr>
        <w:t xml:space="preserve"> model proposed for Apulia, with 800 FTE psychologists under the standard scenario and 900 under the expansive scenario, requires an annual investment of between €38.8 and 43.5 million (up to approximately €41.7-46.7 million including a 7.5% contingency margin). The average cost per FTE psychologist falls between €48,300 and €48,500/year, remaining below the full values of the Dutch POH-GGZ models and in line with the British IAPT experience, against a cost per inhabitant of only €10-12/year.</w:t>
      </w:r>
    </w:p>
    <w:p>
      <w:r>
        <w:rPr>
          <w:rFonts w:ascii="Cambria" w:hAnsi="Cambria" w:cs="Cambria" w:eastAsia="Cambria"/>
        </w:rPr>
        <w:t xml:space="preserve">The introduction of a dedicated budget of €1,000,000 per year for joint training is consistent with best practice on </w:t>
      </w:r>
      <w:r>
        <w:rPr>
          <w:rFonts w:ascii="Cambria" w:hAnsi="Cambria" w:cs="Cambria" w:eastAsia="Cambria"/>
          <w:i/>
        </w:rPr>
        <w:t>collaborative care</w:t>
      </w:r>
      <w:r>
        <w:rPr>
          <w:rFonts w:ascii="Cambria" w:hAnsi="Cambria" w:cs="Cambria" w:eastAsia="Cambria"/>
        </w:rPr>
        <w:t>. The quantitative assessment of direct and indirect savings — including synergies with the Mental Health Centres — is addressed in the chapters that follow. At this stage it is sufficient to state that the investment is fully consistent with the best international cost-effectiveness evidence and places the Apulia Region among the European territories that, for comparable expenditure, can achieve a significant leap in quality in access to, and the quality of, psychological care in primary care.</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CHAPTER 5 — Evidence-based quantification of the direct savings generated by the Primary Care Psychology Service in Apulia</w:t>
      </w:r>
    </w:p>
    <w:p>
      <w:pPr>
        <w:spacing w:after="200"/>
      </w:pPr>
      <w:r>
        <w:rPr>
          <w:rFonts w:ascii="Calibri" w:cs="Calibri" w:eastAsia="Calibri" w:hAnsi="Calibri"/>
          <w:i/>
          <w:iCs/>
          <w:color w:val="2E4272"/>
          <w:sz w:val="24"/>
          <w:szCs w:val="24"/>
        </w:rPr>
        <w:t xml:space="preserve">A revision in light of Solano's studies and the international literature</w:t>
      </w:r>
    </w:p>
    <w:p>
      <w:pPr>
        <w:keepNext/>
        <w:spacing w:after="120" w:before="300" w:line="264"/>
        <w:outlineLvl w:val="1"/>
      </w:pPr>
      <w:r>
        <w:rPr>
          <w:rFonts w:ascii="Calibri" w:cs="Calibri" w:eastAsia="Calibri" w:hAnsi="Calibri"/>
          <w:b/>
          <w:bCs/>
          <w:color w:val="16264B"/>
          <w:sz w:val="30"/>
          <w:szCs w:val="30"/>
        </w:rPr>
        <w:t xml:space="preserve">5.1. Why the earlier savings estimates were understated</w:t>
      </w:r>
    </w:p>
    <w:p>
      <w:pPr>
        <w:spacing w:after="150" w:line="276"/>
        <w:jc w:val="both"/>
      </w:pPr>
      <w:r>
        <w:rPr>
          <w:rFonts w:ascii="Cambria" w:cs="Cambria" w:eastAsia="Cambria" w:hAnsi="Cambria"/>
          <w:b w:val="false"/>
          <w:bCs w:val="false"/>
          <w:color w:val="1A1A1A"/>
          <w:sz w:val="22"/>
          <w:szCs w:val="22"/>
        </w:rPr>
        <w:t xml:space="preserve">The savings estimates presented in Chapter 4 were deliberately conservative. They were derived principally from international models (IAPT,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and from a prudent monetisation of reduced visits, medications and hospitalisations for patients with common emotional disorders. At that stage, however, the specific contribution of the Italian studies by Luigi Solano and colleagues, conducted in Lazio within general practices, had not been fully incorporated, nor had the set of National and regional Health Service expenditure items been broken down with sufficient granularity.</w:t>
      </w:r>
    </w:p>
    <w:p>
      <w:pPr>
        <w:spacing w:after="150" w:line="276"/>
        <w:jc w:val="both"/>
      </w:pPr>
      <w:r>
        <w:rPr>
          <w:rFonts w:ascii="Cambria" w:cs="Cambria" w:eastAsia="Cambria" w:hAnsi="Cambria"/>
          <w:b w:val="false"/>
          <w:bCs w:val="false"/>
          <w:color w:val="1A1A1A"/>
          <w:sz w:val="22"/>
          <w:szCs w:val="22"/>
        </w:rPr>
        <w:t xml:space="preserve">Solano's research on the Primary Care Psychologist shows that the structured placement of psychologists trained in psychosomatic medicine within the general practitioner's practice produces not only an improvement in clinical quality, but also a very substantial reduction in the consumption of healthcare resources, in particular: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reduction of approximately 31% in pharmaceutical expenditure within the subgroup of patients followed jointly by the GP and the Psychologist;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marked reduction in instrumental tests, laboratory analyses and unnecessary specialist visits, particularly for patients with somatic symptom disorders and anxiety disorders;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significant reduction in the General Practitioner's workload, with fewer repeated consultations for the same symptoms, often lacking an organic correlate.</w:t>
      </w:r>
    </w:p>
    <w:p>
      <w:pPr>
        <w:spacing w:after="150" w:line="276"/>
        <w:jc w:val="both"/>
      </w:pPr>
      <w:r>
        <w:rPr>
          <w:rFonts w:ascii="Cambria" w:cs="Cambria" w:eastAsia="Cambria" w:hAnsi="Cambria"/>
          <w:b w:val="false"/>
          <w:bCs w:val="false"/>
          <w:color w:val="1A1A1A"/>
          <w:sz w:val="22"/>
          <w:szCs w:val="22"/>
        </w:rPr>
        <w:t xml:space="preserve">These results are consistent with forty years of international literature on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and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models, which document reductions in healthcare expenditure of between 33% and 47% for patients managed through integrated medical-psychological care (Lazzari, 2011; Gatchel &amp; Oordt, 2008; various studies on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and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In other words, international models are no longer merely “abstract”, but find confirmation in an Italian pilot experience conducted precisely within the primary care setting.</w:t>
      </w:r>
    </w:p>
    <w:p>
      <w:pPr>
        <w:spacing w:after="150" w:line="276"/>
        <w:jc w:val="both"/>
      </w:pPr>
      <w:r>
        <w:rPr>
          <w:rFonts w:ascii="Cambria" w:cs="Cambria" w:eastAsia="Cambria" w:hAnsi="Cambria"/>
          <w:b w:val="false"/>
          <w:bCs w:val="false"/>
          <w:color w:val="1A1A1A"/>
          <w:sz w:val="22"/>
          <w:szCs w:val="22"/>
        </w:rPr>
        <w:t xml:space="preserve">In light of these data, it is necessary to reformulate the savings estimates taking into account three fundamental elements: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The real weight of psychosomatic disorders and psychological components in physical symptoms: up to 70% of patients consulting the GP present a psychosocial component relevant to the reason for the visit. In the absence of an integrated psychologist, the response tends to be centred on medication, tests and specialist referrals.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The concentration of costs within a subgroup of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 minority of high-frequency patients consumes a disproportionate share of resources (visits, tests, prescriptions, Emergency Department attendances). It is precisely on this group that the Primary Care Psychologist exerts the greatest impact.</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The need to break down healthcare expenditure into homogeneous items (basic care, specialist care, pharmaceuticals, mental health, hospitalisation, emergency care) in order to assess potential reductions in consumption with precision.</w:t>
      </w:r>
    </w:p>
    <w:p>
      <w:pPr>
        <w:spacing w:after="150" w:line="276"/>
        <w:jc w:val="both"/>
      </w:pPr>
      <w:r>
        <w:rPr>
          <w:rFonts w:ascii="Cambria" w:cs="Cambria" w:eastAsia="Cambria" w:hAnsi="Cambria"/>
          <w:b w:val="false"/>
          <w:bCs w:val="false"/>
          <w:color w:val="1A1A1A"/>
          <w:sz w:val="22"/>
          <w:szCs w:val="22"/>
        </w:rPr>
        <w:t xml:space="preserve">The remainder of the Chapter is devoted to this reformulation, anchoring each step to official national and regional data and using Solano's findings and European best practices as the very drivers of change.</w:t>
      </w:r>
    </w:p>
    <w:p>
      <w:pPr>
        <w:keepNext/>
        <w:spacing w:after="120" w:before="300" w:line="264"/>
        <w:outlineLvl w:val="1"/>
      </w:pPr>
      <w:r>
        <w:rPr>
          <w:rFonts w:ascii="Calibri" w:cs="Calibri" w:eastAsia="Calibri" w:hAnsi="Calibri"/>
          <w:b/>
          <w:bCs/>
          <w:color w:val="16264B"/>
          <w:sz w:val="30"/>
          <w:szCs w:val="30"/>
        </w:rPr>
        <w:t xml:space="preserve">5.2. Certified expenditure data: Italy and Apulia</w:t>
      </w:r>
    </w:p>
    <w:p>
      <w:pPr>
        <w:keepNext/>
        <w:spacing w:after="80" w:before="220" w:line="260"/>
        <w:outlineLvl w:val="2"/>
      </w:pPr>
      <w:r>
        <w:rPr>
          <w:rFonts w:ascii="Calibri" w:cs="Calibri" w:eastAsia="Calibri" w:hAnsi="Calibri"/>
          <w:b/>
          <w:bCs/>
          <w:color w:val="2E4272"/>
          <w:sz w:val="26"/>
          <w:szCs w:val="26"/>
        </w:rPr>
        <w:t xml:space="preserve">5.2.1. Overall health expenditure and breakdown by function</w:t>
      </w:r>
    </w:p>
    <w:p>
      <w:pPr>
        <w:spacing w:after="150" w:line="276"/>
        <w:jc w:val="both"/>
      </w:pPr>
      <w:r>
        <w:rPr>
          <w:rFonts w:ascii="Cambria" w:cs="Cambria" w:eastAsia="Cambria" w:hAnsi="Cambria"/>
          <w:b w:val="false"/>
          <w:bCs w:val="false"/>
          <w:color w:val="1A1A1A"/>
          <w:sz w:val="22"/>
          <w:szCs w:val="22"/>
        </w:rPr>
        <w:t xml:space="preserve">According to the most recent reports of the Court of Auditors and the General Accounting Office of the State, Italian public health expenditure stands at around €127–131 billion per year, with an incidence on GDP of approximately 6.7–7%, and a tendency to grow over the coming decades owing to demographic ageing. Within this overall figure, the functional breakdown of health accounts highlights certain items of particular relevance to this chapter: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General medical care (General Practitioners and primary care paediatricians): approximately €7.1 billion per year nationally.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Outpatient specialist care, diagnostics and other services purchased from accredited private providers: approximately €27.3 billion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Public pharmaceutical expenditure: between €26 and 28 billion overall (territorial agreement-based pharmaceuticals plus direct hospital purchases), with AIFA reports documenting per capita expenditure exceeding €200/year for the territorial component alone.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Mental health expenditure: consistently equal to 3.0% of the National Health Fund, with a per capita cost of approximately €67–70 per adult resident (SIEP data and the 2021–2022 Mental Health Report).</w:t>
      </w:r>
    </w:p>
    <w:p>
      <w:pPr>
        <w:spacing w:after="150" w:line="276"/>
        <w:jc w:val="both"/>
      </w:pPr>
      <w:r>
        <w:rPr>
          <w:rFonts w:ascii="Cambria" w:cs="Cambria" w:eastAsia="Cambria" w:hAnsi="Cambria"/>
          <w:b w:val="false"/>
          <w:bCs w:val="false"/>
          <w:color w:val="1A1A1A"/>
          <w:sz w:val="22"/>
          <w:szCs w:val="22"/>
        </w:rPr>
        <w:t xml:space="preserve">The Apulia Region accounts for approximately 6.6% of the national population. In the absence of more recent expenditure data disaggregated by item, a prudent approximation — but one consistent with the literature on territorial differentials — consists in attributing to Apulia a share of expenditure proportional to its demographic weight, recognising that Apulian per capita expenditure tends to be slightly below the Italian average, but that the higher prevalence of chronic conditions and socioeconomic hardship tends to offset this gap.</w:t>
      </w:r>
    </w:p>
    <w:p>
      <w:pPr>
        <w:spacing w:after="150" w:line="276"/>
        <w:jc w:val="both"/>
      </w:pPr>
      <w:r>
        <w:rPr>
          <w:rFonts w:ascii="Cambria" w:cs="Cambria" w:eastAsia="Cambria" w:hAnsi="Cambria"/>
          <w:b w:val="false"/>
          <w:bCs w:val="false"/>
          <w:color w:val="1A1A1A"/>
          <w:sz w:val="22"/>
          <w:szCs w:val="22"/>
        </w:rPr>
        <w:t xml:space="preserve">Using this demographic proportion and national average values, the following reference figures for Apulia are obtained: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General medical care: approximately €470–480 million per year (6.6% of €7.1 billion).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Purchased specialist and diagnostic care: approximately €1.8 billion per year (6.6% of €27.3 billion).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Territorial pharmaceutical expenditure: approximately €800 million per year, starting from the national per capita expenditure of more than €200 multiplied by Apulia's 3.89 million residents.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Overall mental health expenditure (territorial + hospital): approximately €270 million per year, applying to the Apulian population the national per capita cost of €69–70.</w:t>
      </w:r>
    </w:p>
    <w:p>
      <w:pPr>
        <w:spacing w:after="150" w:line="276"/>
        <w:jc w:val="both"/>
      </w:pPr>
      <w:r>
        <w:rPr>
          <w:rFonts w:ascii="Cambria" w:cs="Cambria" w:eastAsia="Cambria" w:hAnsi="Cambria"/>
          <w:b w:val="false"/>
          <w:bCs w:val="false"/>
          <w:color w:val="1A1A1A"/>
          <w:sz w:val="22"/>
          <w:szCs w:val="22"/>
        </w:rPr>
        <w:t xml:space="preserve">These figures are consistent with health accounting data and with reports on the state of mental health in Italy, which document a stable share of psychiatric expenditure equal to 3% of the National Health Fund and a per capita cost per resident ranging between €65 and 70.</w:t>
      </w:r>
    </w:p>
    <w:p>
      <w:pPr>
        <w:keepNext/>
        <w:spacing w:after="80" w:before="220" w:line="260"/>
        <w:outlineLvl w:val="2"/>
      </w:pPr>
      <w:r>
        <w:rPr>
          <w:rFonts w:ascii="Calibri" w:cs="Calibri" w:eastAsia="Calibri" w:hAnsi="Calibri"/>
          <w:b/>
          <w:bCs/>
          <w:color w:val="2E4272"/>
          <w:sz w:val="26"/>
          <w:szCs w:val="26"/>
        </w:rPr>
        <w:t xml:space="preserve">5.2.2. The weight of mental and psychosomatic disorders in Apulia</w:t>
      </w:r>
    </w:p>
    <w:p>
      <w:pPr>
        <w:spacing w:after="150" w:line="276"/>
        <w:jc w:val="both"/>
      </w:pPr>
      <w:r>
        <w:rPr>
          <w:rFonts w:ascii="Cambria" w:cs="Cambria" w:eastAsia="Cambria" w:hAnsi="Cambria"/>
          <w:b w:val="false"/>
          <w:bCs w:val="false"/>
          <w:color w:val="1A1A1A"/>
          <w:sz w:val="22"/>
          <w:szCs w:val="22"/>
        </w:rPr>
        <w:t xml:space="preserve">National and regional epidemiological data converge in describing a situation in which common mental disorders and sub-threshold psychological distress are extremely widespread. In Apulia, recent estimates indicate that between 20% and 25% of the population experiences a significant form of psychological distress over the course of a year, while approximately 55,000 people are in care with the Departments of Mental Health.</w:t>
      </w:r>
    </w:p>
    <w:p>
      <w:pPr>
        <w:spacing w:after="150" w:line="276"/>
        <w:jc w:val="both"/>
      </w:pPr>
      <w:r>
        <w:rPr>
          <w:rFonts w:ascii="Cambria" w:cs="Cambria" w:eastAsia="Cambria" w:hAnsi="Cambria"/>
          <w:b w:val="false"/>
          <w:bCs w:val="false"/>
          <w:color w:val="1A1A1A"/>
          <w:sz w:val="22"/>
          <w:szCs w:val="22"/>
        </w:rPr>
        <w:t xml:space="preserve">However, the great majority of psychological distress and somatic symptom disorders is not intercepted by specialist services, but remains within the remit of primary care. The international primary care literature indicates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up to 70% of patients requesting a General Practitioner consultation present psychosocial problems related to the request;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small share of “frequent attender” patients (between 3% and 10% of the </w:t>
      </w:r>
      <w:r>
        <w:rPr>
          <w:rFonts w:ascii="Cambria" w:cs="Cambria" w:eastAsia="Cambria" w:hAnsi="Cambria"/>
          <w:b w:val="false"/>
          <w:bCs w:val="false"/>
          <w:i/>
          <w:iCs/>
          <w:color w:val="1A1A1A"/>
          <w:sz w:val="22"/>
          <w:szCs w:val="22"/>
        </w:rPr>
        <w:t xml:space="preserve">caseload</w:t>
      </w:r>
      <w:r>
        <w:rPr>
          <w:rFonts w:ascii="Cambria" w:cs="Cambria" w:eastAsia="Cambria" w:hAnsi="Cambria"/>
          <w:b w:val="false"/>
          <w:bCs w:val="false"/>
          <w:color w:val="1A1A1A"/>
          <w:sz w:val="22"/>
          <w:szCs w:val="22"/>
        </w:rPr>
        <w:t xml:space="preserve">) accounts for a very high proportion of visits, often with multiple, recurrent symptoms, among which psychosomatic conditions, anxiety and mood disorders, and comorbidity with chronic disease play a prominent role.</w:t>
      </w:r>
    </w:p>
    <w:p>
      <w:pPr>
        <w:spacing w:after="150" w:line="276"/>
        <w:jc w:val="both"/>
      </w:pPr>
      <w:r>
        <w:rPr>
          <w:rFonts w:ascii="Cambria" w:cs="Cambria" w:eastAsia="Cambria" w:hAnsi="Cambria"/>
          <w:b w:val="false"/>
          <w:bCs w:val="false"/>
          <w:color w:val="1A1A1A"/>
          <w:sz w:val="22"/>
          <w:szCs w:val="22"/>
        </w:rPr>
        <w:t xml:space="preserve">It is precisely on this high-utilisation group that the Primary Care Psychologist, according to the Solano model, exerts maximum impact, helping to better discriminate between organic disease and functional or psychosomatic disorders and drastically reducing recourse to diagnostic work-ups and pharmacological therapies of little benefit.</w:t>
      </w:r>
    </w:p>
    <w:p>
      <w:pPr>
        <w:keepNext/>
        <w:spacing w:after="120" w:before="300" w:line="264"/>
        <w:outlineLvl w:val="1"/>
      </w:pPr>
      <w:r>
        <w:rPr>
          <w:rFonts w:ascii="Calibri" w:cs="Calibri" w:eastAsia="Calibri" w:hAnsi="Calibri"/>
          <w:b/>
          <w:bCs/>
          <w:color w:val="16264B"/>
          <w:sz w:val="30"/>
          <w:szCs w:val="30"/>
        </w:rPr>
        <w:t xml:space="preserve">5.3. The contribution of Solano's studies: reductions in medication, tests and visits</w:t>
      </w:r>
    </w:p>
    <w:p>
      <w:pPr>
        <w:spacing w:after="150" w:line="276"/>
        <w:jc w:val="both"/>
      </w:pPr>
      <w:r>
        <w:rPr>
          <w:rFonts w:ascii="Cambria" w:cs="Cambria" w:eastAsia="Cambria" w:hAnsi="Cambria"/>
          <w:b w:val="false"/>
          <w:bCs w:val="false"/>
          <w:color w:val="1A1A1A"/>
          <w:sz w:val="22"/>
          <w:szCs w:val="22"/>
        </w:rPr>
        <w:t xml:space="preserve">The studies conducted by Solano and colleagues within the Local Health Authorities of Lazio represent a milestone because they apply the structured GP-psychologist collaboration model within Italian general practices, with systematic measurement of clinical and economic outcomes.</w:t>
      </w:r>
    </w:p>
    <w:p>
      <w:pPr>
        <w:keepNext/>
        <w:spacing w:after="80" w:before="220" w:line="260"/>
        <w:outlineLvl w:val="2"/>
      </w:pPr>
      <w:r>
        <w:rPr>
          <w:rFonts w:ascii="Calibri" w:cs="Calibri" w:eastAsia="Calibri" w:hAnsi="Calibri"/>
          <w:b/>
          <w:bCs/>
          <w:color w:val="2E4272"/>
          <w:sz w:val="26"/>
          <w:szCs w:val="26"/>
        </w:rPr>
        <w:t xml:space="preserve">5.3.1. Reduction in pharmaceutical expenditure</w:t>
      </w:r>
    </w:p>
    <w:p>
      <w:pPr>
        <w:spacing w:after="150" w:line="276"/>
        <w:jc w:val="both"/>
      </w:pPr>
      <w:r>
        <w:rPr>
          <w:rFonts w:ascii="Cambria" w:cs="Cambria" w:eastAsia="Cambria" w:hAnsi="Cambria"/>
          <w:b w:val="false"/>
          <w:bCs w:val="false"/>
          <w:color w:val="1A1A1A"/>
          <w:sz w:val="22"/>
          <w:szCs w:val="22"/>
        </w:rPr>
        <w:t xml:space="preserve">The best-known and most relevant figure for the present quantification is the 31% reduction in pharmaceutical expenditure within the subgroup of patients jointly followed by the GP and the Psychologist, compared with the period before the introduction of the psychological figure. This result, observed in a real-world care setting, confirms that a significant share of pharmacological prescribing in general practice is in fact driven by problems of a psychosomatic or emotional nature, for which psychological intervention is more appropriate, effective and sustainable.</w:t>
      </w:r>
    </w:p>
    <w:p>
      <w:pPr>
        <w:spacing w:after="150" w:line="276"/>
        <w:jc w:val="both"/>
      </w:pPr>
      <w:r>
        <w:rPr>
          <w:rFonts w:ascii="Cambria" w:cs="Cambria" w:eastAsia="Cambria" w:hAnsi="Cambria"/>
          <w:b w:val="false"/>
          <w:bCs w:val="false"/>
          <w:color w:val="1A1A1A"/>
          <w:sz w:val="22"/>
          <w:szCs w:val="22"/>
        </w:rPr>
        <w:t xml:space="preserve">The 31% figure should be read in light of two considerations: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it is not an indiscriminate reduction, but a decrease in prescriptions deemed not strictly necessary following better diagnostic framing and targeted psychological intervention;</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most of the reduction concerns symptomatic medications, anxiolytics, gastro-protective agents, analgesics, and, to a lesser extent, psychotropic drugs prescribed in the absence of a clear overall therapeutic plan.</w:t>
      </w:r>
    </w:p>
    <w:p>
      <w:pPr>
        <w:spacing w:after="150" w:line="276"/>
        <w:jc w:val="both"/>
      </w:pPr>
      <w:r>
        <w:rPr>
          <w:rFonts w:ascii="Cambria" w:cs="Cambria" w:eastAsia="Cambria" w:hAnsi="Cambria"/>
          <w:b w:val="false"/>
          <w:bCs w:val="false"/>
          <w:color w:val="1A1A1A"/>
          <w:sz w:val="22"/>
          <w:szCs w:val="22"/>
        </w:rPr>
        <w:t xml:space="preserve">In the Apulian context, directly applying a 31% cut to the entire territorial pharmaceutical expenditure would be inappropriate, because the Primary Care Psychologist will not be able to influence all categories of patients and medications equally. It is however reasonable to assume that at least a quarter of territorial pharmaceutical expenditure is directly connected to conditions with a significant psychic or psychosomatic component. Prudently applying the 31% reduction to this 25% of territorial pharmaceutical expenditure (approximately €800 million) yields an annual saving in the order of €60–65 million.</w:t>
      </w:r>
    </w:p>
    <w:p>
      <w:pPr>
        <w:spacing w:after="150" w:line="276"/>
        <w:jc w:val="both"/>
      </w:pPr>
      <w:r>
        <w:rPr>
          <w:rFonts w:ascii="Cambria" w:cs="Cambria" w:eastAsia="Cambria" w:hAnsi="Cambria"/>
          <w:b w:val="false"/>
          <w:bCs w:val="false"/>
          <w:color w:val="1A1A1A"/>
          <w:sz w:val="22"/>
          <w:szCs w:val="22"/>
        </w:rPr>
        <w:t xml:space="preserve">This estimate takes Solano's evidence into account, but is likely still conservative when compared with international studies which, in patients with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document very high average total annual costs (more than €6,000 per patient/year in some European studies) and pharmacological expenditure reductions that are even greater when integrated psychological treatment is introduced.</w:t>
      </w:r>
    </w:p>
    <w:p>
      <w:pPr>
        <w:keepNext/>
        <w:spacing w:after="80" w:before="220" w:line="260"/>
        <w:outlineLvl w:val="2"/>
      </w:pPr>
      <w:r>
        <w:rPr>
          <w:rFonts w:ascii="Calibri" w:cs="Calibri" w:eastAsia="Calibri" w:hAnsi="Calibri"/>
          <w:b/>
          <w:bCs/>
          <w:color w:val="2E4272"/>
          <w:sz w:val="26"/>
          <w:szCs w:val="26"/>
        </w:rPr>
        <w:t xml:space="preserve">5.3.2. Reduction in diagnostic tests and specialist visits</w:t>
      </w:r>
    </w:p>
    <w:p>
      <w:pPr>
        <w:spacing w:after="150" w:line="276"/>
        <w:jc w:val="both"/>
      </w:pPr>
      <w:r>
        <w:rPr>
          <w:rFonts w:ascii="Cambria" w:cs="Cambria" w:eastAsia="Cambria" w:hAnsi="Cambria"/>
          <w:b w:val="false"/>
          <w:bCs w:val="false"/>
          <w:color w:val="1A1A1A"/>
          <w:sz w:val="22"/>
          <w:szCs w:val="22"/>
        </w:rPr>
        <w:t xml:space="preserve">Solano's studies, together with the review by Gatchel &amp; Oordt and the meta-analysis by Lazzari, indicate that placing the Primary Care Psychologist within general practice significantly reduces requests for laboratory tests, instrumental investigations (X-rays, ultrasounds, CT scans, MRIs, endoscopies) and specialist referrals arising from clinical presentations in which the bodily symptom is largely the expression of psychological factors.</w:t>
      </w:r>
    </w:p>
    <w:p>
      <w:pPr>
        <w:spacing w:after="150" w:line="276"/>
        <w:jc w:val="both"/>
      </w:pPr>
      <w:r>
        <w:rPr>
          <w:rFonts w:ascii="Cambria" w:cs="Cambria" w:eastAsia="Cambria" w:hAnsi="Cambria"/>
          <w:b w:val="false"/>
          <w:bCs w:val="false"/>
          <w:color w:val="1A1A1A"/>
          <w:sz w:val="22"/>
          <w:szCs w:val="22"/>
        </w:rPr>
        <w:t xml:space="preserve">In quantitative terms, the international literature suggests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with functional somatic symptoms, psychological interventions in collaboration with the GP can reduce specialist visits and tests by 30–40%;</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some cohorts with cardiovascular disease, adding psychological treatment produces a 30% reduction in overall healthcare costs, with fewer hospitalisations and invasive procedures.</w:t>
      </w:r>
    </w:p>
    <w:p>
      <w:pPr>
        <w:spacing w:after="150" w:line="276"/>
        <w:jc w:val="both"/>
      </w:pPr>
      <w:r>
        <w:rPr>
          <w:rFonts w:ascii="Cambria" w:cs="Cambria" w:eastAsia="Cambria" w:hAnsi="Cambria"/>
          <w:b w:val="false"/>
          <w:bCs w:val="false"/>
          <w:color w:val="1A1A1A"/>
          <w:sz w:val="22"/>
          <w:szCs w:val="22"/>
        </w:rPr>
        <w:t xml:space="preserve">For Apulia, it is reasonable to hypothesise that at least 30% of outpatient specialist and diagnostic expenditure (approximately €1.8 billion per year) is generated by patients with psychosomatic disorders, anxiety, depression and other forms of psychological distress expressed predominantly through physical symptoms. Applying an average 30% reduction in inappropriate or redundant services to this 30% yields a prudent savings estimate of approximately €160 million per year.</w:t>
      </w:r>
    </w:p>
    <w:p>
      <w:pPr>
        <w:spacing w:after="150" w:line="276"/>
        <w:jc w:val="both"/>
      </w:pPr>
      <w:r>
        <w:rPr>
          <w:rFonts w:ascii="Cambria" w:cs="Cambria" w:eastAsia="Cambria" w:hAnsi="Cambria"/>
          <w:b w:val="false"/>
          <w:bCs w:val="false"/>
          <w:color w:val="1A1A1A"/>
          <w:sz w:val="22"/>
          <w:szCs w:val="22"/>
        </w:rPr>
        <w:t xml:space="preserve">Here too, this is an estimate aligned with, but not maximal relative to, international data. The literature in fact indicates reductions in healthcare expenditure of between 33% and 47% for patients undergoing psychological interventions in primary care; working with a 30% reduction applied to a limited share (30%) of total expenditure places this estimate clearly in the lower range of possible savings.</w:t>
      </w:r>
    </w:p>
    <w:p>
      <w:pPr>
        <w:keepNext/>
        <w:spacing w:after="80" w:before="220" w:line="260"/>
        <w:outlineLvl w:val="2"/>
      </w:pPr>
      <w:r>
        <w:rPr>
          <w:rFonts w:ascii="Calibri" w:cs="Calibri" w:eastAsia="Calibri" w:hAnsi="Calibri"/>
          <w:b/>
          <w:bCs/>
          <w:color w:val="2E4272"/>
          <w:sz w:val="26"/>
          <w:szCs w:val="26"/>
        </w:rPr>
        <w:t xml:space="preserve">5.3.3. Reduction in general practice workload and costs</w:t>
      </w:r>
    </w:p>
    <w:p>
      <w:pPr>
        <w:spacing w:after="150" w:line="276"/>
        <w:jc w:val="both"/>
      </w:pPr>
      <w:r>
        <w:rPr>
          <w:rFonts w:ascii="Cambria" w:cs="Cambria" w:eastAsia="Cambria" w:hAnsi="Cambria"/>
          <w:b w:val="false"/>
          <w:bCs w:val="false"/>
          <w:color w:val="1A1A1A"/>
          <w:sz w:val="22"/>
          <w:szCs w:val="22"/>
        </w:rPr>
        <w:t xml:space="preserve">Solano's work and the literature on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show that structured collaboration between the GP and the Primary Care Psychologist drastically reduces the number of repeated consultations for the same symptoms, especially when these are sustained by emotional, relational or social factors. Some studies report reductions in GP workload of up to 48% within the subgroup of patients also followed by the psychologist.</w:t>
      </w:r>
    </w:p>
    <w:p>
      <w:pPr>
        <w:spacing w:after="150" w:line="276"/>
        <w:jc w:val="both"/>
      </w:pPr>
      <w:r>
        <w:rPr>
          <w:rFonts w:ascii="Cambria" w:cs="Cambria" w:eastAsia="Cambria" w:hAnsi="Cambria"/>
          <w:b w:val="false"/>
          <w:bCs w:val="false"/>
          <w:color w:val="1A1A1A"/>
          <w:sz w:val="22"/>
          <w:szCs w:val="22"/>
        </w:rPr>
        <w:t xml:space="preserve">From an accounting standpoint, expenditure on general medical care in Apulia can be estimated at around €470–480 million per year. A significant share of this expenditure is “fixed” (physicians' remuneration), but a non-negligible part takes the form of incentives, additional payments, continuity-of-care costs, out-of-hours medical cover, proactive (“initiative”) medicine and other organisational arrangements made necessary by demand pressure.</w:t>
      </w:r>
    </w:p>
    <w:p>
      <w:pPr>
        <w:spacing w:after="150" w:line="276"/>
        <w:jc w:val="both"/>
      </w:pPr>
      <w:r>
        <w:rPr>
          <w:rFonts w:ascii="Cambria" w:cs="Cambria" w:eastAsia="Cambria" w:hAnsi="Cambria"/>
          <w:b w:val="false"/>
          <w:bCs w:val="false"/>
          <w:color w:val="1A1A1A"/>
          <w:sz w:val="22"/>
          <w:szCs w:val="22"/>
        </w:rPr>
        <w:t xml:space="preserve">Considering that, according to the literature, a minority of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generates between 30% and 40% of the workload, and that intervention by the Primary Care Psychologist with these patients can reduce unnecessary or redundant medical consultations by 20–30%, it is plausible to estimate a direct annual saving in the order of €35–40 million on total general practice expenditure. For the sake of prudence, only half of this figure (approximately €19 million) is here treated as “actually monetisable saving”, while the remaining part is regarded as freed-up productive capacity and reduced waiting times rather than an immediate reduction in expenditure.</w:t>
      </w:r>
    </w:p>
    <w:p>
      <w:pPr>
        <w:keepNext/>
        <w:spacing w:after="80" w:before="220" w:line="260"/>
        <w:outlineLvl w:val="2"/>
      </w:pPr>
      <w:r>
        <w:rPr>
          <w:rFonts w:ascii="Calibri" w:cs="Calibri" w:eastAsia="Calibri" w:hAnsi="Calibri"/>
          <w:b/>
          <w:bCs/>
          <w:color w:val="2E4272"/>
          <w:sz w:val="26"/>
          <w:szCs w:val="26"/>
        </w:rPr>
        <w:t xml:space="preserve">5.3.4. Reduction in hospital admissions and length of stay</w:t>
      </w:r>
    </w:p>
    <w:p>
      <w:pPr>
        <w:spacing w:after="150" w:line="276"/>
        <w:jc w:val="both"/>
      </w:pPr>
      <w:r>
        <w:rPr>
          <w:rFonts w:ascii="Cambria" w:cs="Cambria" w:eastAsia="Cambria" w:hAnsi="Cambria"/>
          <w:b w:val="false"/>
          <w:bCs w:val="false"/>
          <w:color w:val="1A1A1A"/>
          <w:sz w:val="22"/>
          <w:szCs w:val="22"/>
        </w:rPr>
        <w:t xml:space="preserve">The literature on depression, anxiety, somatoform disorders and medical-psychiatric comorbidity documents that integrated psychological care in primary care reduces not only recourse to outpatient specialist services and tests, but also the incidence of hospital admissions and the length of stay. This occurs both because some admissions are avoided — for example in cases of functional cardiac symptoms, conversion crises, or exacerbations of chronic conditions linked to poor treatment adherence — and because improved emotional well-being facilitates the home management of chronic conditions.</w:t>
      </w:r>
    </w:p>
    <w:p>
      <w:pPr>
        <w:spacing w:after="150" w:line="276"/>
        <w:jc w:val="both"/>
      </w:pPr>
      <w:r>
        <w:rPr>
          <w:rFonts w:ascii="Cambria" w:cs="Cambria" w:eastAsia="Cambria" w:hAnsi="Cambria"/>
          <w:b w:val="false"/>
          <w:bCs w:val="false"/>
          <w:color w:val="1A1A1A"/>
          <w:sz w:val="22"/>
          <w:szCs w:val="22"/>
        </w:rPr>
        <w:t xml:space="preserve">It is difficult to attribute a single, direct figure to these savings without risking double counting, since part of hospital costs already falls within the specialist-care and mental-health expenditure categories considered elsewhere. For this reason, in the model proposed here the benefits of reduced hospitalisation are prudently accounted for mainly within the “psychiatric care and mental health” item and, to a lesser extent, as an implicit component of the savings generated on medical specialist and diagnostic care.</w:t>
      </w:r>
    </w:p>
    <w:p>
      <w:pPr>
        <w:keepNext/>
        <w:spacing w:after="120" w:before="300" w:line="264"/>
        <w:outlineLvl w:val="1"/>
      </w:pPr>
      <w:r>
        <w:rPr>
          <w:rFonts w:ascii="Calibri" w:cs="Calibri" w:eastAsia="Calibri" w:hAnsi="Calibri"/>
          <w:b/>
          <w:bCs/>
          <w:color w:val="16264B"/>
          <w:sz w:val="30"/>
          <w:szCs w:val="30"/>
        </w:rPr>
        <w:t xml:space="preserve">5.4. Additional savings linked to specialist mental health services and the Mental Health Centres</w:t>
      </w:r>
    </w:p>
    <w:p>
      <w:pPr>
        <w:spacing w:after="150" w:line="276"/>
        <w:jc w:val="both"/>
      </w:pPr>
      <w:r>
        <w:rPr>
          <w:rFonts w:ascii="Cambria" w:cs="Cambria" w:eastAsia="Cambria" w:hAnsi="Cambria"/>
          <w:b w:val="false"/>
          <w:bCs w:val="false"/>
          <w:color w:val="1A1A1A"/>
          <w:sz w:val="22"/>
          <w:szCs w:val="22"/>
        </w:rPr>
        <w:t xml:space="preserve">A specific question concerns whether savings obtainable through better use of the Departments of Mental Health (DMH) and the Mental Health Centres (MHC), thanks to the filtering function of the Primary Care Psychologist, can also be included. It is important to distinguish between indirect savings (e.g., a reduced workload at equal cost) and direct savings that are actually monetisable.</w:t>
      </w:r>
    </w:p>
    <w:p>
      <w:pPr>
        <w:keepNext/>
        <w:spacing w:after="80" w:before="220" w:line="260"/>
        <w:outlineLvl w:val="2"/>
      </w:pPr>
      <w:r>
        <w:rPr>
          <w:rFonts w:ascii="Calibri" w:cs="Calibri" w:eastAsia="Calibri" w:hAnsi="Calibri"/>
          <w:b/>
          <w:bCs/>
          <w:color w:val="2E4272"/>
          <w:sz w:val="26"/>
          <w:szCs w:val="26"/>
        </w:rPr>
        <w:t xml:space="preserve">5.4.1. Expenditure and activity framework of mental health services</w:t>
      </w:r>
    </w:p>
    <w:p>
      <w:pPr>
        <w:spacing w:after="150" w:line="276"/>
        <w:jc w:val="both"/>
      </w:pPr>
      <w:r>
        <w:rPr>
          <w:rFonts w:ascii="Cambria" w:cs="Cambria" w:eastAsia="Cambria" w:hAnsi="Cambria"/>
          <w:b w:val="false"/>
          <w:bCs w:val="false"/>
          <w:color w:val="1A1A1A"/>
          <w:sz w:val="22"/>
          <w:szCs w:val="22"/>
        </w:rPr>
        <w:t xml:space="preserve">The 2021–2022 Mental Health Report, based on the Mental Health Information System (SISM), documents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expenditure on psychiatric care (territorial and hospital) represents approximately 3% of the National Health Fund, with an average annual cost per resident of approximately €69–70;</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nationally, more than 800,000 adult users are in care with mental health services, with standardised treated-prevalence rates that vary across Regions;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Apulia, regional data and specialist press sources indicate approximately 55,000 users in care with the Departments of Mental Health, against an estimated more than 780,000 Apulians who, over the course of their lives, experience clinically significant psychological suffering.</w:t>
      </w:r>
    </w:p>
    <w:p>
      <w:pPr>
        <w:spacing w:after="150" w:line="276"/>
        <w:jc w:val="both"/>
      </w:pPr>
      <w:r>
        <w:rPr>
          <w:rFonts w:ascii="Cambria" w:cs="Cambria" w:eastAsia="Cambria" w:hAnsi="Cambria"/>
          <w:b w:val="false"/>
          <w:bCs w:val="false"/>
          <w:color w:val="1A1A1A"/>
          <w:sz w:val="22"/>
          <w:szCs w:val="22"/>
        </w:rPr>
        <w:t xml:space="preserve">This means that specialist services intercept only a minority share of distress, while most mild and moderate situations remain within the remit of primary care or, worse, receive no structured intervention at all.</w:t>
      </w:r>
    </w:p>
    <w:p>
      <w:pPr>
        <w:keepNext/>
        <w:spacing w:after="80" w:before="220" w:line="260"/>
        <w:outlineLvl w:val="2"/>
      </w:pPr>
      <w:r>
        <w:rPr>
          <w:rFonts w:ascii="Calibri" w:cs="Calibri" w:eastAsia="Calibri" w:hAnsi="Calibri"/>
          <w:b/>
          <w:bCs/>
          <w:color w:val="2E4272"/>
          <w:sz w:val="26"/>
          <w:szCs w:val="26"/>
        </w:rPr>
        <w:t xml:space="preserve">5.4.2. The role of the Primary Care Psychologist in filtering access to specialist services</w:t>
      </w:r>
    </w:p>
    <w:p>
      <w:pPr>
        <w:spacing w:after="150" w:line="276"/>
        <w:jc w:val="both"/>
      </w:pPr>
      <w:r>
        <w:rPr>
          <w:rFonts w:ascii="Cambria" w:cs="Cambria" w:eastAsia="Cambria" w:hAnsi="Cambria"/>
          <w:b w:val="false"/>
          <w:bCs w:val="false"/>
          <w:color w:val="1A1A1A"/>
          <w:sz w:val="22"/>
          <w:szCs w:val="22"/>
        </w:rPr>
        <w:t xml:space="preserve">Placing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in all Community Houses and in General Practitioners' practices makes it possible to build a genuine clinical and organisational filter between the general population and specialist mental health services. In particular, the Primary Care Psychologist can: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directly manage mild and moderate anxiety and depressive disorders, somatisation and adjustment disorders, avoiding unnecessary referrals to the Mental Health Centres;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better prepare, through more accurate psychodiagnostic and psychosocial assessment, those patients who genuinely require specialist intervention, reducing inappropriate access and improving the quality of referrals;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support General Practitioners in managing complex cases that are not strictly psychiatric but are characterised by significant emotional and relational components, which would otherwise tend to “migrate” towards specialist services in the absence of any other response.</w:t>
      </w:r>
    </w:p>
    <w:p>
      <w:pPr>
        <w:spacing w:after="150" w:line="276"/>
        <w:jc w:val="both"/>
      </w:pPr>
      <w:r>
        <w:rPr>
          <w:rFonts w:ascii="Cambria" w:cs="Cambria" w:eastAsia="Cambria" w:hAnsi="Cambria"/>
          <w:b w:val="false"/>
          <w:bCs w:val="false"/>
          <w:color w:val="1A1A1A"/>
          <w:sz w:val="22"/>
          <w:szCs w:val="22"/>
        </w:rPr>
        <w:t xml:space="preserve">If it is prudently assumed that the widespread presence of the Primary Care Psychologist allows: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at least 10% of new referrals to mental health services to be avoided for mild and moderate presentations that can be managed in primary care;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similar reduction (10%) in the average duration of treatment within the Departments of Mental Health, for cases in which continuity of care is partly shared between the Mental Health Centres and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w:t>
      </w:r>
    </w:p>
    <w:p>
      <w:pPr>
        <w:spacing w:after="150" w:line="276"/>
        <w:jc w:val="both"/>
      </w:pPr>
      <w:r>
        <w:rPr>
          <w:rFonts w:ascii="Cambria" w:cs="Cambria" w:eastAsia="Cambria" w:hAnsi="Cambria"/>
          <w:b w:val="false"/>
          <w:bCs w:val="false"/>
          <w:color w:val="1A1A1A"/>
          <w:sz w:val="22"/>
          <w:szCs w:val="22"/>
        </w:rPr>
        <w:t xml:space="preserve">then it is realistic to estimate a direct reduction of psychiatric care costs in the order of 10% of total expenditure. Applied to the approximately €270 million of estimated mental health expenditure in Apulia, this reduction corresponds to approximately €27 million per year of direct saving, net of the costs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itself, which are charged to the general expenditure item of the new Service.</w:t>
      </w:r>
    </w:p>
    <w:p>
      <w:pPr>
        <w:spacing w:after="150" w:line="276"/>
        <w:jc w:val="both"/>
      </w:pPr>
      <w:r>
        <w:rPr>
          <w:rFonts w:ascii="Cambria" w:cs="Cambria" w:eastAsia="Cambria" w:hAnsi="Cambria"/>
          <w:b w:val="false"/>
          <w:bCs w:val="false"/>
          <w:color w:val="1A1A1A"/>
          <w:sz w:val="22"/>
          <w:szCs w:val="22"/>
        </w:rPr>
        <w:t xml:space="preserve">This estimate is consistent with the principle of prudence: international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and collaborative-care models in fact show larger reductions in recourse to specialist services when psychological care in primary care is well structured. Nonetheless, setting an initial target of 10% allows a credible and defensible projection to be formulated, including for technical-administrative purposes.</w:t>
      </w:r>
    </w:p>
    <w:p>
      <w:pPr>
        <w:keepNext/>
        <w:spacing w:after="120" w:before="300" w:line="264"/>
        <w:outlineLvl w:val="1"/>
      </w:pPr>
      <w:r>
        <w:rPr>
          <w:rFonts w:ascii="Calibri" w:cs="Calibri" w:eastAsia="Calibri" w:hAnsi="Calibri"/>
          <w:b/>
          <w:bCs/>
          <w:color w:val="16264B"/>
          <w:sz w:val="30"/>
          <w:szCs w:val="30"/>
        </w:rPr>
        <w:t xml:space="preserve">5.5. Recalibrated modelling of direct savings in Apulia</w:t>
      </w:r>
    </w:p>
    <w:p>
      <w:pPr>
        <w:spacing w:after="150" w:line="276"/>
        <w:jc w:val="both"/>
      </w:pPr>
      <w:r>
        <w:rPr>
          <w:rFonts w:ascii="Cambria" w:cs="Cambria" w:eastAsia="Cambria" w:hAnsi="Cambria"/>
          <w:b w:val="false"/>
          <w:bCs w:val="false"/>
          <w:color w:val="1A1A1A"/>
          <w:sz w:val="22"/>
          <w:szCs w:val="22"/>
        </w:rPr>
        <w:t xml:space="preserve">Integrating the foregoing considerations, it is possible to propose a new estimate of the direct savings potentially generated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under a standard steady-state scenario with 800 psychologists distributed across the territory.</w:t>
      </w:r>
    </w:p>
    <w:p>
      <w:pPr>
        <w:keepNext/>
        <w:spacing w:after="80" w:before="220" w:line="260"/>
        <w:outlineLvl w:val="2"/>
      </w:pPr>
      <w:r>
        <w:rPr>
          <w:rFonts w:ascii="Calibri" w:cs="Calibri" w:eastAsia="Calibri" w:hAnsi="Calibri"/>
          <w:b/>
          <w:bCs/>
          <w:color w:val="2E4272"/>
          <w:sz w:val="26"/>
          <w:szCs w:val="26"/>
        </w:rPr>
        <w:t xml:space="preserve">5.5.1. Population treated and coverage assumptions</w:t>
      </w:r>
    </w:p>
    <w:p>
      <w:pPr>
        <w:spacing w:after="150" w:line="276"/>
        <w:jc w:val="both"/>
      </w:pPr>
      <w:r>
        <w:rPr>
          <w:rFonts w:ascii="Cambria" w:cs="Cambria" w:eastAsia="Cambria" w:hAnsi="Cambria"/>
          <w:b w:val="false"/>
          <w:bCs w:val="false"/>
          <w:color w:val="1A1A1A"/>
          <w:sz w:val="22"/>
          <w:szCs w:val="22"/>
        </w:rPr>
        <w:t xml:space="preserve">We maintain the assumption, already used in previous chapters,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at steady state, treats approximately 5% of the Apulian population each year (approximately 195,000 people), with a rate of remission or clinically significant improvement equal to 50%. This assumption is consistent with the volumes achieved by programmes such as IAPT in the United Kingdom and with WHO estimates of the treatment gap for common mental disorders.</w:t>
      </w:r>
    </w:p>
    <w:p>
      <w:pPr>
        <w:spacing w:after="150" w:line="276"/>
        <w:jc w:val="both"/>
      </w:pPr>
      <w:r>
        <w:rPr>
          <w:rFonts w:ascii="Cambria" w:cs="Cambria" w:eastAsia="Cambria" w:hAnsi="Cambria"/>
          <w:b w:val="false"/>
          <w:bCs w:val="false"/>
          <w:color w:val="1A1A1A"/>
          <w:sz w:val="22"/>
          <w:szCs w:val="22"/>
        </w:rPr>
        <w:t xml:space="preserve">These 195,000 patients do not represent a random segment of the population, but largely overlap with the subgroup of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and patients with high healthcare-service utilisation due to anxiety disorders, depression, somatisation and psycho-physical comorbidities.</w:t>
      </w:r>
    </w:p>
    <w:p>
      <w:pPr>
        <w:keepNext/>
        <w:spacing w:after="80" w:before="220" w:line="260"/>
        <w:outlineLvl w:val="2"/>
      </w:pPr>
      <w:r>
        <w:rPr>
          <w:rFonts w:ascii="Calibri" w:cs="Calibri" w:eastAsia="Calibri" w:hAnsi="Calibri"/>
          <w:b/>
          <w:bCs/>
          <w:color w:val="2E4272"/>
          <w:sz w:val="26"/>
          <w:szCs w:val="26"/>
        </w:rPr>
        <w:t xml:space="preserve">5.5.2. Direct savings by expenditure item</w:t>
      </w:r>
    </w:p>
    <w:p>
      <w:pPr>
        <w:spacing w:after="150" w:line="276"/>
        <w:jc w:val="both"/>
      </w:pPr>
      <w:r>
        <w:rPr>
          <w:rFonts w:ascii="Cambria" w:cs="Cambria" w:eastAsia="Cambria" w:hAnsi="Cambria"/>
          <w:b w:val="false"/>
          <w:bCs w:val="false"/>
          <w:color w:val="1A1A1A"/>
          <w:sz w:val="22"/>
          <w:szCs w:val="22"/>
        </w:rPr>
        <w:t xml:space="preserve">On the basis of the foregoing calculations, the savings estimates can be summarised for each major healthcare expenditure category:</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General medical care. An actually monetisable reduction of approximately €19 million per year, deriving from a 20% decrease in unnecessary consultations within the subgroup of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that generates 40% of the workload. Part of the benefit manifests as increased capacity and reduced waiting times rather than as an immediate reduction in expenditure.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Specialist and diagnostic care. An estimated saving of approximately €160 million per year, obtained by applying a 30% reduction to 30% of total expenditure, corresponding to the share attributable to tests and visits generated by psychosomatic disorders and psychological components that are not adequately treated.</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Territorial pharmaceutical expenditure. An estimated saving of approximately €60–65 million per year, applying the 31% reduction documented by Solano to 25% of territorial pharmaceutical expenditure, a share prudently attributable to prescriptions linked to anxiety disorders, somatisation, mood disorders and functional symptoms.</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Specialist psychiatric care and mental health. An estimated saving of approximately €27 million per year, corresponding to a 10% reduction in overall psychiatric care costs thanks to the filtering effect exercised by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on new access and on the duration of treatment for mild and moderate cases.</w:t>
      </w:r>
    </w:p>
    <w:p>
      <w:pPr>
        <w:spacing w:after="150" w:line="276"/>
        <w:jc w:val="both"/>
      </w:pPr>
      <w:r>
        <w:rPr>
          <w:rFonts w:ascii="Cambria" w:cs="Cambria" w:eastAsia="Cambria" w:hAnsi="Cambria"/>
          <w:b w:val="false"/>
          <w:bCs w:val="false"/>
          <w:color w:val="1A1A1A"/>
          <w:sz w:val="22"/>
          <w:szCs w:val="22"/>
        </w:rPr>
        <w:t xml:space="preserve">Summing these components yields an overall direct saving in the order of €270 million per year, at steady state, for the Apulian Regional Health Service alone, without considering the indirect benefits (labour productivity, reduced sick leave, improved quality of life) that are likewise amply documented in the international literature.</w:t>
      </w:r>
    </w:p>
    <w:p>
      <w:pPr>
        <w:keepNext/>
        <w:spacing w:after="80" w:before="220" w:line="260"/>
        <w:outlineLvl w:val="2"/>
      </w:pPr>
      <w:r>
        <w:rPr>
          <w:rFonts w:ascii="Calibri" w:cs="Calibri" w:eastAsia="Calibri" w:hAnsi="Calibri"/>
          <w:b/>
          <w:bCs/>
          <w:color w:val="2E4272"/>
          <w:sz w:val="26"/>
          <w:szCs w:val="26"/>
        </w:rPr>
        <w:t xml:space="preserve">5.5.3. Saving per patient and comparison with the costs of the Primary Care Psychology Service</w:t>
      </w:r>
    </w:p>
    <w:p>
      <w:pPr>
        <w:spacing w:after="150" w:line="276"/>
        <w:jc w:val="both"/>
      </w:pPr>
      <w:r>
        <w:rPr>
          <w:rFonts w:ascii="Cambria" w:cs="Cambria" w:eastAsia="Cambria" w:hAnsi="Cambria"/>
          <w:b w:val="false"/>
          <w:bCs w:val="false"/>
          <w:color w:val="1A1A1A"/>
          <w:sz w:val="22"/>
          <w:szCs w:val="22"/>
        </w:rPr>
        <w:t xml:space="preserve">Relating the overall direct saving (approximately €270 million) to the 195,000 patients treated annually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yields an average direct saving per patient in the order of €1,350–1,400 per year. This figure is considerably higher than the initial estimates (approximately €370–800 per patient per year), confirming that the first model was indeed understated because it did not fully include: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impact on diagnostic tests and specialist visits;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filtering effect on specialist mental health services;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Solano's specific evidence on the 31% reduction in pharmaceutical expenditure.</w:t>
      </w:r>
    </w:p>
    <w:p>
      <w:pPr>
        <w:spacing w:after="150" w:line="276"/>
        <w:jc w:val="both"/>
      </w:pPr>
      <w:r>
        <w:rPr>
          <w:rFonts w:ascii="Cambria" w:cs="Cambria" w:eastAsia="Cambria" w:hAnsi="Cambria"/>
          <w:b w:val="false"/>
          <w:bCs w:val="false"/>
          <w:color w:val="1A1A1A"/>
          <w:sz w:val="22"/>
          <w:szCs w:val="22"/>
        </w:rPr>
        <w:t xml:space="preserve">Against these savings, the annual steady-state cost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under the standard scenario with 800 psychologists, was estimated in Chapter 4 at approximately €38–41 million (including salaries, training, supervision, IT and governance). Comparing cost with direct savings allows a cost-benefit ratio (ROI) of at least €6–7 in direct savings for every euro invested to be calculated, with a plausible range, allowing for uncertainty and variability, of between 4:1 and 8:1.</w:t>
      </w:r>
    </w:p>
    <w:p>
      <w:pPr>
        <w:spacing w:after="150" w:line="276"/>
        <w:jc w:val="both"/>
      </w:pPr>
      <w:r>
        <w:rPr>
          <w:rFonts w:ascii="Cambria" w:cs="Cambria" w:eastAsia="Cambria" w:hAnsi="Cambria"/>
          <w:b w:val="false"/>
          <w:bCs w:val="false"/>
          <w:color w:val="1A1A1A"/>
          <w:sz w:val="22"/>
          <w:szCs w:val="22"/>
        </w:rPr>
        <w:t xml:space="preserve">This ROI value is in line with — and indeed slightly above — many international studies which, for psychological treatment programmes in primary care, indicate cost-benefit ratios of between 3:1 and 5:1 when both healthcare savings and labour-productivity-related savings are included. The fact that such high values are reached in the Apulian case considering only direct healthcare savings highlights the significant under-estimation of the previous model.</w:t>
      </w:r>
    </w:p>
    <w:p>
      <w:pPr>
        <w:keepNext/>
        <w:spacing w:after="120" w:before="300" w:line="264"/>
        <w:outlineLvl w:val="1"/>
      </w:pPr>
      <w:r>
        <w:rPr>
          <w:rFonts w:ascii="Calibri" w:cs="Calibri" w:eastAsia="Calibri" w:hAnsi="Calibri"/>
          <w:b/>
          <w:bCs/>
          <w:color w:val="16264B"/>
          <w:sz w:val="30"/>
          <w:szCs w:val="30"/>
        </w:rPr>
        <w:t xml:space="preserve">5.6. Methodological implications and interpretive caveats</w:t>
      </w:r>
    </w:p>
    <w:p>
      <w:pPr>
        <w:keepNext/>
        <w:spacing w:after="80" w:before="220" w:line="260"/>
        <w:outlineLvl w:val="2"/>
      </w:pPr>
      <w:r>
        <w:rPr>
          <w:rFonts w:ascii="Calibri" w:cs="Calibri" w:eastAsia="Calibri" w:hAnsi="Calibri"/>
          <w:b/>
          <w:bCs/>
          <w:color w:val="2E4272"/>
          <w:sz w:val="26"/>
          <w:szCs w:val="26"/>
        </w:rPr>
        <w:t xml:space="preserve">5.6.1. Alignment with European and international best practice</w:t>
      </w:r>
    </w:p>
    <w:p>
      <w:pPr>
        <w:spacing w:after="150" w:line="276"/>
        <w:jc w:val="both"/>
      </w:pPr>
      <w:r>
        <w:rPr>
          <w:rFonts w:ascii="Cambria" w:cs="Cambria" w:eastAsia="Cambria" w:hAnsi="Cambria"/>
          <w:b w:val="false"/>
          <w:bCs w:val="false"/>
          <w:color w:val="1A1A1A"/>
          <w:sz w:val="22"/>
          <w:szCs w:val="22"/>
        </w:rPr>
        <w:t xml:space="preserve">The new savings estimates are not the product of a simple arithmetic exercise, but derive from the coherent integration of three sources of evidence: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Official Italian data on expenditure for basic care, specialist care, pharmaceuticals and mental health, with particular attention to per capita values and to the share of the National Health Fund allocated to each area.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Specific national evidence from the studies of Solano and colleagues within the Local Health Authorities of Lazio, which demonstrate, in the Italian context, the concrete possibility of reducing pharmaceutical expenditure by more than 30% and of markedly decreasing recourse to unnecessary tests and visits.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European and international best practice (Northern European countries, the United Kingdom, the Netherlands, the United States, Australia), which documents that models of psychology integrated into primary care reduce healthcare expenditure for patients followed by between 33% and 47%, with particularly significant impacts among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and patients with functional somatic symptoms.</w:t>
      </w:r>
    </w:p>
    <w:p>
      <w:pPr>
        <w:spacing w:after="150" w:line="276"/>
        <w:jc w:val="both"/>
      </w:pPr>
      <w:r>
        <w:rPr>
          <w:rFonts w:ascii="Cambria" w:cs="Cambria" w:eastAsia="Cambria" w:hAnsi="Cambria"/>
          <w:b w:val="false"/>
          <w:bCs w:val="false"/>
          <w:color w:val="1A1A1A"/>
          <w:sz w:val="22"/>
          <w:szCs w:val="22"/>
        </w:rPr>
        <w:t xml:space="preserve">The application of this evidence to the Apulian context has been carried out by systematically adopting conservative assumptions (a 30% reduction rather than 40–45%, coverage of 5% of the population rather than 7–8%, attribution of 25–30% of the various expenditure items to psychosomatic disorders rather than higher shares). This means that the estimates presented in Chapter 5 do not represent a “theoretical maximum”, but a reasonably guaranteed minimum given a well-designed implementation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w:t>
      </w:r>
    </w:p>
    <w:p>
      <w:pPr>
        <w:keepNext/>
        <w:spacing w:after="80" w:before="220" w:line="260"/>
        <w:outlineLvl w:val="2"/>
      </w:pPr>
      <w:r>
        <w:rPr>
          <w:rFonts w:ascii="Calibri" w:cs="Calibri" w:eastAsia="Calibri" w:hAnsi="Calibri"/>
          <w:b/>
          <w:bCs/>
          <w:color w:val="2E4272"/>
          <w:sz w:val="26"/>
          <w:szCs w:val="26"/>
        </w:rPr>
        <w:t xml:space="preserve">5.6.2. Risks of double counting and margins of uncertainty</w:t>
      </w:r>
    </w:p>
    <w:p>
      <w:pPr>
        <w:spacing w:after="150" w:line="276"/>
        <w:jc w:val="both"/>
      </w:pPr>
      <w:r>
        <w:rPr>
          <w:rFonts w:ascii="Cambria" w:cs="Cambria" w:eastAsia="Cambria" w:hAnsi="Cambria"/>
          <w:b w:val="false"/>
          <w:bCs w:val="false"/>
          <w:color w:val="1A1A1A"/>
          <w:sz w:val="22"/>
          <w:szCs w:val="22"/>
        </w:rPr>
        <w:t xml:space="preserve">Every economic modelling exercise carries a risk of double counting and of over- or under-estimating certain phenomena. To minimise such risks, in this Chapter: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relating to hospital admissions have been accounted for largely within the “psychiatric care and mental health” item, avoiding adding them again to medical specialist care;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reduction in General Practitioner costs has been treated only in part as a direct saving, recognising that a substantial share will translate into organisational benefits rather than immediately into lower monetary outlays;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impact on pharmaceutical expenditure has been limited to the territorial component alone and to a prudent portion of it (25%), even though it is plausible that the Primary Care Psychologist also has effects on hospital pharmacotherapy and on prescriptions for chronic conditions linked to lifestyle and psychological factors.</w:t>
      </w:r>
    </w:p>
    <w:p>
      <w:pPr>
        <w:spacing w:after="150" w:line="276"/>
        <w:jc w:val="both"/>
      </w:pPr>
      <w:r>
        <w:rPr>
          <w:rFonts w:ascii="Cambria" w:cs="Cambria" w:eastAsia="Cambria" w:hAnsi="Cambria"/>
          <w:b w:val="false"/>
          <w:bCs w:val="false"/>
          <w:color w:val="1A1A1A"/>
          <w:sz w:val="22"/>
          <w:szCs w:val="22"/>
        </w:rPr>
        <w:t xml:space="preserve">A physiological margin of uncertainty nonetheless remains, which can be reduced only through piloting and the progressive extension of the service, with systematic collection of utilisation and expenditure data, ideally through integrated information systems and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 tools.</w:t>
      </w:r>
    </w:p>
    <w:p>
      <w:pPr>
        <w:keepNext/>
        <w:spacing w:after="80" w:before="220" w:line="260"/>
        <w:outlineLvl w:val="2"/>
      </w:pPr>
      <w:r>
        <w:rPr>
          <w:rFonts w:ascii="Calibri" w:cs="Calibri" w:eastAsia="Calibri" w:hAnsi="Calibri"/>
          <w:b/>
          <w:bCs/>
          <w:color w:val="2E4272"/>
          <w:sz w:val="26"/>
          <w:szCs w:val="26"/>
        </w:rPr>
        <w:t xml:space="preserve">5.6.3. Prospective assessment: low, medium and high scenarios</w:t>
      </w:r>
    </w:p>
    <w:p>
      <w:pPr>
        <w:spacing w:after="150" w:line="276"/>
        <w:jc w:val="both"/>
      </w:pPr>
      <w:r>
        <w:rPr>
          <w:rFonts w:ascii="Cambria" w:cs="Cambria" w:eastAsia="Cambria" w:hAnsi="Cambria"/>
          <w:b w:val="false"/>
          <w:bCs w:val="false"/>
          <w:color w:val="1A1A1A"/>
          <w:sz w:val="22"/>
          <w:szCs w:val="22"/>
        </w:rPr>
        <w:t xml:space="preserve">For sound policy and administrative planning, it is useful to distinguish between different economic-impact scenarios: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Prudent (low) scenario: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produces direct savings of approximately €150 million per year, corresponding to a ROI of approximately 4:1. This scenario could occur in the event of slow implementation, incomplete multi-professional teams, or difficulties in integration with General Practitioners in some areas.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Central (medium) scenario: direct savings stand at around €270 million per year, as estimated in this Chapter, with a ROI of approximately 6–7:1. This is the scenario that presupposes good organisational integration, structured clinical supervision, and systematic use of diagnostic and monitoring tools.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Expansive (high) scenario: full maturation of the model (8–10 years, as suggested by the IAPT learning curve) brings direct healthcare savings above €300–350 million per year, with ROI exceeding 8:1 and indirect benefits (labour productivity, reduced disability, better management of chronic conditions) that can double this value.</w:t>
      </w:r>
    </w:p>
    <w:p>
      <w:pPr>
        <w:spacing w:after="150" w:line="276"/>
        <w:jc w:val="both"/>
      </w:pPr>
      <w:r>
        <w:rPr>
          <w:rFonts w:ascii="Cambria" w:cs="Cambria" w:eastAsia="Cambria" w:hAnsi="Cambria"/>
          <w:b w:val="false"/>
          <w:bCs w:val="false"/>
          <w:color w:val="1A1A1A"/>
          <w:sz w:val="22"/>
          <w:szCs w:val="22"/>
        </w:rPr>
        <w:t xml:space="preserve">The official adoption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can be accompanied by governance arrangements that provide specific monitoring indicators for each of these scenarios, transforming this modelling exercise into a genuine working hypothesis that can be verified over time.</w:t>
      </w:r>
    </w:p>
    <w:p>
      <w:pPr>
        <w:keepNext/>
        <w:spacing w:after="120" w:before="300" w:line="264"/>
        <w:outlineLvl w:val="1"/>
      </w:pPr>
      <w:r>
        <w:rPr>
          <w:rFonts w:ascii="Calibri" w:cs="Calibri" w:eastAsia="Calibri" w:hAnsi="Calibri"/>
          <w:b/>
          <w:bCs/>
          <w:color w:val="16264B"/>
          <w:sz w:val="30"/>
          <w:szCs w:val="30"/>
        </w:rPr>
        <w:t xml:space="preserve">5.7. Conclusions of Chapter 5</w:t>
      </w:r>
    </w:p>
    <w:p>
      <w:pPr>
        <w:spacing w:after="150" w:line="276"/>
        <w:jc w:val="both"/>
      </w:pPr>
      <w:r>
        <w:rPr>
          <w:rFonts w:ascii="Cambria" w:cs="Cambria" w:eastAsia="Cambria" w:hAnsi="Cambria"/>
          <w:b w:val="false"/>
          <w:bCs w:val="false"/>
          <w:color w:val="1A1A1A"/>
          <w:sz w:val="22"/>
          <w:szCs w:val="22"/>
        </w:rPr>
        <w:t xml:space="preserve">The in-depth review of the potential savings generated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light of Solano's studies and international best practice, confirms that the initial estimates were indeed understated. Integrating official data on Italian and Apulian health expenditure, national and international evidence on primary care psychology models, and a detailed analysis of the various expenditure items, it is possible to state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direct healthcare savings for the Apulian Regional Health Service plausibly fall within a range of €150–300 million per year, with a central scenario of around €270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annual cost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(€38–41 million) is amply offset by these savings, generating a cost-benefit ratio of between 4:1 and 8:1;</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specific contribution of the Primary Care Psychologist in discriminating between organic disease and psychosomatic disorders, in managing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and in filtering access to specialist mental health services, is the principal driver of these savings;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proposed model is consistent with the best European and Western experiences, but finds further legitimation in the empirical demonstration offered by Solano's Italian pilot studies.</w:t>
      </w:r>
    </w:p>
    <w:p>
      <w:pPr>
        <w:spacing w:after="150" w:line="276"/>
        <w:jc w:val="both"/>
      </w:pPr>
      <w:r>
        <w:rPr>
          <w:rFonts w:ascii="Cambria" w:cs="Cambria" w:eastAsia="Cambria" w:hAnsi="Cambria"/>
          <w:b w:val="false"/>
          <w:bCs w:val="false"/>
          <w:color w:val="1A1A1A"/>
          <w:sz w:val="22"/>
          <w:szCs w:val="22"/>
        </w:rPr>
        <w:t xml:space="preserve">Chapter 5, thus reformulated, constitutes the quantitative and methodological basis for consolidating the technical-financial report on the Primary Care Psychologist in Apulia, enabling regional planning to present an economic picture that is not only sustainable but clearly advantageous relative to the status quo.</w:t>
      </w:r>
    </w:p>
    <w:p>
      <w:pPr>
        <w:keepNext/>
        <w:spacing w:after="120" w:before="300" w:line="264"/>
        <w:outlineLvl w:val="1"/>
      </w:pPr>
      <w:r>
        <w:rPr>
          <w:rFonts w:ascii="Calibri" w:cs="Calibri" w:eastAsia="Calibri" w:hAnsi="Calibri"/>
          <w:b/>
          <w:bCs/>
          <w:color w:val="16264B"/>
          <w:sz w:val="30"/>
          <w:szCs w:val="30"/>
        </w:rPr>
        <w:t xml:space="preserve">5.8. Disaggregation of savings by clinical area and expenditure type</w:t>
      </w:r>
    </w:p>
    <w:p>
      <w:pPr>
        <w:spacing w:after="150" w:line="276"/>
        <w:jc w:val="both"/>
      </w:pPr>
      <w:r>
        <w:rPr>
          <w:rFonts w:ascii="Cambria" w:cs="Cambria" w:eastAsia="Cambria" w:hAnsi="Cambria"/>
          <w:b w:val="false"/>
          <w:bCs w:val="false"/>
          <w:color w:val="1A1A1A"/>
          <w:sz w:val="22"/>
          <w:szCs w:val="22"/>
        </w:rPr>
        <w:t xml:space="preserve">The overall estimate of direct savings generated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recalibrated in light of Solano's studies and the international literature, identifies an order of magnitude of approximately €270 million per year for the Apulian Regional Health Service, at steady state, under the standard scenario with 800 psychologists. For this figure to be fully usable for planning purposes, it must be broken down into sub-components consistent with the classification of regional health expenditure.</w:t>
      </w:r>
    </w:p>
    <w:p>
      <w:pPr>
        <w:keepNext/>
        <w:spacing w:after="80" w:before="220" w:line="260"/>
        <w:outlineLvl w:val="2"/>
      </w:pPr>
      <w:r>
        <w:rPr>
          <w:rFonts w:ascii="Calibri" w:cs="Calibri" w:eastAsia="Calibri" w:hAnsi="Calibri"/>
          <w:b/>
          <w:bCs/>
          <w:color w:val="2E4272"/>
          <w:sz w:val="26"/>
          <w:szCs w:val="26"/>
        </w:rPr>
        <w:t xml:space="preserve">5.8.1. Outpatient specialist and diagnostic care: which clinical areas are most involved</w:t>
      </w:r>
    </w:p>
    <w:p>
      <w:pPr>
        <w:spacing w:after="150" w:line="276"/>
        <w:jc w:val="both"/>
      </w:pPr>
      <w:r>
        <w:rPr>
          <w:rFonts w:ascii="Cambria" w:cs="Cambria" w:eastAsia="Cambria" w:hAnsi="Cambria"/>
          <w:b w:val="false"/>
          <w:bCs w:val="false"/>
          <w:color w:val="1A1A1A"/>
          <w:sz w:val="22"/>
          <w:szCs w:val="22"/>
        </w:rPr>
        <w:t xml:space="preserve">The largest share of direct savings concerns the area of outpatient specialist care and instrumental diagnostics, with a prudent estimate of approximately €160 million per year. This is not a monolithic block: the literature on somatic symptom disorders and functional conditions indicates that requests for repeated investigations are concentrated in certain specialties that more frequently see patients with psychosomatic disorders.</w:t>
      </w:r>
    </w:p>
    <w:p>
      <w:pPr>
        <w:spacing w:after="150" w:line="276"/>
        <w:jc w:val="both"/>
      </w:pPr>
      <w:r>
        <w:rPr>
          <w:rFonts w:ascii="Cambria" w:cs="Cambria" w:eastAsia="Cambria" w:hAnsi="Cambria"/>
          <w:b w:val="false"/>
          <w:bCs w:val="false"/>
          <w:color w:val="1A1A1A"/>
          <w:sz w:val="22"/>
          <w:szCs w:val="22"/>
        </w:rPr>
        <w:t xml:space="preserve">European studies on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show that, in hospital and outpatient services, between 20% and 40% of visits in cardiology, gastroenterology, neurology, rheumatology, pulmonology and internal medicine concern symptoms without a clear organic explanation, or with an evident disproportion between the detectable lesion and the subjective suffering. Similar data emerge for headaches, recurrent abdominal pain, diffuse musculoskeletal pain, functional dizziness and numerous chronic pain disorders.</w:t>
      </w:r>
    </w:p>
    <w:p>
      <w:pPr>
        <w:spacing w:after="150" w:line="276"/>
        <w:jc w:val="both"/>
      </w:pPr>
      <w:r>
        <w:rPr>
          <w:rFonts w:ascii="Cambria" w:cs="Cambria" w:eastAsia="Cambria" w:hAnsi="Cambria"/>
          <w:b w:val="false"/>
          <w:bCs w:val="false"/>
          <w:color w:val="1A1A1A"/>
          <w:sz w:val="22"/>
          <w:szCs w:val="22"/>
        </w:rPr>
        <w:t xml:space="preserve">On the basis of this literature, and taking into account the structure of Apulian specialist provision, the approximately €160 million of savings can be disaggregated as follows, noting that this is a conservative breakdown but one consistent with the actual epidemiological profile: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Cardiovascular area. Includes cardiology visits, work-ups for non-cardiac chest pain, palpitations and reactive hypertension, as well as repeated echocardiograms and ECGs. A substantial share of these visits is sustained by anxiety, panic attacks, adjustment disorders or somatic hypervigilance. A targeted reduction in inappropriate investigations, thanks to joint GP-Primary Care Psychologist assessment, allows around one fifth of specialist savings to be attributed to this area, equal to just over €30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Gastroenterological area. Recurrent abdominal pain, irritable bowel syndrome, functional dyspepsia, bowel disorders and dyspeptic symptoms linked to stress and emotional dysregulation represent one of the classic fields of psychosomatic medicine. Numerous studies document a high prevalence of functional disorders in gastroenterology and a strong response to integrated psychological interventions. It is reasonable to attribute to this area a further similar share, around €30–35 million, arising from fewer endoscopies, ultrasounds, CT scans, MRIs and repeated visits.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Neurological area (headaches, dizziness, paraesthesia). Primary headaches, functional dizziness, dissociative disorders with neurological symptoms, and anxiety-related paraesthesia entail a high demand for neurological consultations and repeated imaging (CT scans, MRIs). The literature shows that a significant share of such visits is linked to catastrophic fears (stroke, brain tumours) fuelled by anxiety and by dysfunctional interpretations of bodily sensations. With a Primary Care Psychologist in place, a significant share of these patients can be assessed and managed at an early stage, with an estimated saving of approximately €20–25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Rheumatological, pain-medicine and musculoskeletal area. Widespread pain, fibromyalgia, chronic non-specific low back and neck pain, complex regional pain syndromes and other related conditions are strongly influenced by psychological and psychosocial factors. Integrated GP-Psychologist interventions reduce recourse to repeated radiological investigations, multiple specialist visits and physical therapies that are not always necessary. It is plausible to place in this area a share of savings around €20–25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Respiratory and allergy area. Non-cardiopulmonary dyspnoea, hyperventilation, panic attacks with respiratory symptoms, functional airway disorders, and part of the visits for poorly controlled asthma are areas in which the psychological factor is often determinant. Better discrimination between organic disease and anxiety symptomatology significantly reduces spirometry, allergy testing, chest imaging and repeated visits. A prudent allocation of savings for this area can be placed at around €15–20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Gynaecological, urological and endocrine-metabolic area. Chronic pelvic pain, functional urogenital syndromes, stress-related menstrual disorders, some sexual dysfunctions and borderline endocrine symptoms (for example, chronic fatigue in the absence of a clear organic picture) generate diagnostic pathways that are often long and repeated. The presence of the Primary Care Psychologist allows early biopsychosocial assessment, with a share of savings that can reasonably be estimated at around €15–20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Cross-cutting imaging area (radiology, ultrasound, CT, MRI). A significant part of instrumental tests across all the clinical fields cited above is requested as an exclusionary investigation in the presence of anxious or somatoform symptoms. Systematic use of psychological consultation in primary care substantially reduces this diagnostic cascade. The residual value of savings, approximately €15–20 million, can be attributed to this cross-cutting category.</w:t>
      </w:r>
    </w:p>
    <w:p>
      <w:pPr>
        <w:spacing w:after="150" w:line="276"/>
        <w:jc w:val="both"/>
      </w:pPr>
      <w:r>
        <w:rPr>
          <w:rFonts w:ascii="Cambria" w:cs="Cambria" w:eastAsia="Cambria" w:hAnsi="Cambria"/>
          <w:b w:val="false"/>
          <w:bCs w:val="false"/>
          <w:color w:val="1A1A1A"/>
          <w:sz w:val="22"/>
          <w:szCs w:val="22"/>
        </w:rPr>
        <w:t xml:space="preserve">In summary, the prudent estimate of €160 million per year in savings on specialist and diagnostic care does not appear concentrated in a single area, but is distributed consistently across the main clinical fields involved in the management of psychosomatic disorders. This makes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model particularly robust, since it does not depend on a single sector but intercepts patterns of inappropriateness present across several specialist branches.</w:t>
      </w:r>
    </w:p>
    <w:p>
      <w:pPr>
        <w:keepNext/>
        <w:spacing w:after="80" w:before="220" w:line="260"/>
        <w:outlineLvl w:val="2"/>
      </w:pPr>
      <w:r>
        <w:rPr>
          <w:rFonts w:ascii="Calibri" w:cs="Calibri" w:eastAsia="Calibri" w:hAnsi="Calibri"/>
          <w:b/>
          <w:bCs/>
          <w:color w:val="2E4272"/>
          <w:sz w:val="26"/>
          <w:szCs w:val="26"/>
        </w:rPr>
        <w:t xml:space="preserve">5.8.2. Disaggregation of savings on pharmaceutical expenditure</w:t>
      </w:r>
    </w:p>
    <w:p>
      <w:pPr>
        <w:spacing w:after="150" w:line="276"/>
        <w:jc w:val="both"/>
      </w:pPr>
      <w:r>
        <w:rPr>
          <w:rFonts w:ascii="Cambria" w:cs="Cambria" w:eastAsia="Cambria" w:hAnsi="Cambria"/>
          <w:b w:val="false"/>
          <w:bCs w:val="false"/>
          <w:color w:val="1A1A1A"/>
          <w:sz w:val="22"/>
          <w:szCs w:val="22"/>
        </w:rPr>
        <w:t xml:space="preserve">The 31% reduction in pharmaceutical expenditure observed by Solano within the subgroup of patients taken in charge by the GP and the Primary Care Psychologist does not concern psychotropic drugs alone. On the contrary, it affects a broad spectrum of therapeutic categories, typically used to manage symptomatically disorders with a strong psychosocial component.</w:t>
      </w:r>
    </w:p>
    <w:p>
      <w:pPr>
        <w:spacing w:after="150" w:line="276"/>
        <w:jc w:val="both"/>
      </w:pPr>
      <w:r>
        <w:rPr>
          <w:rFonts w:ascii="Cambria" w:cs="Cambria" w:eastAsia="Cambria" w:hAnsi="Cambria"/>
          <w:b w:val="false"/>
          <w:bCs w:val="false"/>
          <w:color w:val="1A1A1A"/>
          <w:sz w:val="22"/>
          <w:szCs w:val="22"/>
        </w:rPr>
        <w:t xml:space="preserve">Prudently considering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could affect approximately a quarter of Apulian territorial pharmaceutical expenditure (€800 million per year), and applying to this portion the 31% decrease documented in the Lazio studies, an annual saving in the order of €60–65 million is obtained. This figure can be further broken down into broad drug groups: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Psychotropic drugs (anxiolytics, hypnotics, antidepressants). A significant share of benzodiazepine, hypnotic and antidepressant prescriptions in general practice reflects long-term use without a clear therapeutic plan, often in the absence of psychological support. Integration with the Primary Care Psychologist allows such prescriptions to be reduced or replaced with brief psychotherapeutic interventions. It is plausible to attribute to this group around 40% of savings, equal to €24–26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Analgesics, anti-inflammatories and chronic pain medications. In patients with non-specific musculoskeletal pain, fibromyalgia, chronic headaches and other functional pain syndromes, pharmacological therapy tends to become chronic and multi-drug. Integrated psychological management reduces the need for analgesics, NSAIDs and centrally acting medications prescribed in the absence of adequate pain assessment. A share of approximately 30% of savings (€18–20 million) can be attributed to this category.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Gastro-protective agents and medications for functional gastrointestinal disorders. Antacids, proton-pump inhibitors, prokinetics and antispasmodics are often prescribed for extended periods for gastrointestinal symptoms associated with stress and anxiety, without there always being solid organic indication. Early psychological intervention allows the chronic use of these medications to be reduced. It is reasonable to consider that approximately 20% of pharmaceutical savings (€12–13 million) derives from this group.</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Other symptomatic and supportive medications. This category includes medications for dizziness, non-specific preparations for anxious-depressive states, muscle relaxants, some bronchodilators used in presentations with a strong anxiety component, and other symptomatically used therapies. The residual share of savings (approximately 10%, equal to €6–7 million) can be allocated to these active ingredients.</w:t>
      </w:r>
    </w:p>
    <w:p>
      <w:pPr>
        <w:spacing w:after="150" w:line="276"/>
        <w:jc w:val="both"/>
      </w:pPr>
      <w:r>
        <w:rPr>
          <w:rFonts w:ascii="Cambria" w:cs="Cambria" w:eastAsia="Cambria" w:hAnsi="Cambria"/>
          <w:b w:val="false"/>
          <w:bCs w:val="false"/>
          <w:color w:val="1A1A1A"/>
          <w:sz w:val="22"/>
          <w:szCs w:val="22"/>
        </w:rPr>
        <w:t xml:space="preserve">This disaggregation confirms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does not produce a mere across-the-board cost cut, but helps realign medication use with actual clinical indications, reducing iatrogenic polypharmacy and potential adverse reactions, with evident benefits also in terms of patient safety.</w:t>
      </w:r>
    </w:p>
    <w:p>
      <w:pPr>
        <w:keepNext/>
        <w:spacing w:after="80" w:before="220" w:line="260"/>
        <w:outlineLvl w:val="2"/>
      </w:pPr>
      <w:r>
        <w:rPr>
          <w:rFonts w:ascii="Calibri" w:cs="Calibri" w:eastAsia="Calibri" w:hAnsi="Calibri"/>
          <w:b/>
          <w:bCs/>
          <w:color w:val="2E4272"/>
          <w:sz w:val="26"/>
          <w:szCs w:val="26"/>
        </w:rPr>
        <w:t xml:space="preserve">5.8.3. Savings on general medical care</w:t>
      </w:r>
    </w:p>
    <w:p>
      <w:pPr>
        <w:spacing w:after="150" w:line="276"/>
        <w:jc w:val="both"/>
      </w:pPr>
      <w:r>
        <w:rPr>
          <w:rFonts w:ascii="Cambria" w:cs="Cambria" w:eastAsia="Cambria" w:hAnsi="Cambria"/>
          <w:b w:val="false"/>
          <w:bCs w:val="false"/>
          <w:color w:val="1A1A1A"/>
          <w:sz w:val="22"/>
          <w:szCs w:val="22"/>
        </w:rPr>
        <w:t xml:space="preserve">Expenditure on general medical care (GPs and primary care paediatricians) largely consists of fixed costs (contractual remuneration), but a non-negligible fraction is linked to additional activities, continuity of care, proactive medicine and other interventions made necessary by high demand pressure.</w:t>
      </w:r>
    </w:p>
    <w:p>
      <w:pPr>
        <w:spacing w:after="150" w:line="276"/>
        <w:jc w:val="both"/>
      </w:pPr>
      <w:r>
        <w:rPr>
          <w:rFonts w:ascii="Cambria" w:cs="Cambria" w:eastAsia="Cambria" w:hAnsi="Cambria"/>
          <w:b w:val="false"/>
          <w:bCs w:val="false"/>
          <w:color w:val="1A1A1A"/>
          <w:sz w:val="22"/>
          <w:szCs w:val="22"/>
        </w:rPr>
        <w:t xml:space="preserve">Studies on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show that a small percentage of patients — typically between 3% and 10% of the </w:t>
      </w:r>
      <w:r>
        <w:rPr>
          <w:rFonts w:ascii="Cambria" w:cs="Cambria" w:eastAsia="Cambria" w:hAnsi="Cambria"/>
          <w:b w:val="false"/>
          <w:bCs w:val="false"/>
          <w:i/>
          <w:iCs/>
          <w:color w:val="1A1A1A"/>
          <w:sz w:val="22"/>
          <w:szCs w:val="22"/>
        </w:rPr>
        <w:t xml:space="preserve">caseload</w:t>
      </w:r>
      <w:r>
        <w:rPr>
          <w:rFonts w:ascii="Cambria" w:cs="Cambria" w:eastAsia="Cambria" w:hAnsi="Cambria"/>
          <w:b w:val="false"/>
          <w:bCs w:val="false"/>
          <w:color w:val="1A1A1A"/>
          <w:sz w:val="22"/>
          <w:szCs w:val="22"/>
        </w:rPr>
        <w:t xml:space="preserve"> — can generate up to 40% of consultations in general practice, with symptom presentations characterised by an overlap of physical and psychological disorders. Placing the Primary Care Psychologist within the practice, following the Solano model, allows a marked reduction in repeated consultations for the same symptoms, through psychosomatic assessment and motivational and psychoeducational work.</w:t>
      </w:r>
    </w:p>
    <w:p>
      <w:pPr>
        <w:spacing w:after="150" w:line="276"/>
        <w:jc w:val="both"/>
      </w:pPr>
      <w:r>
        <w:rPr>
          <w:rFonts w:ascii="Cambria" w:cs="Cambria" w:eastAsia="Cambria" w:hAnsi="Cambria"/>
          <w:b w:val="false"/>
          <w:bCs w:val="false"/>
          <w:color w:val="1A1A1A"/>
          <w:sz w:val="22"/>
          <w:szCs w:val="22"/>
        </w:rPr>
        <w:t xml:space="preserve">Applying a prudent 20% reduction in consultations within this high-frequency subgroup in Apulia yields a potential saving of approximately €35–40 million per year. Recognising that not all of this reduction can immediately translate into lower monetary outlays, the model accounts as a direct saving only about half of this figure (€19 million), while the remaining part is interpreted as freed-up productive capacity: more clinical time for complex cases, better accessibility, and reduced pressure on continuity-of-care services.</w:t>
      </w:r>
    </w:p>
    <w:p>
      <w:pPr>
        <w:keepNext/>
        <w:spacing w:after="80" w:before="220" w:line="260"/>
        <w:outlineLvl w:val="2"/>
      </w:pPr>
      <w:r>
        <w:rPr>
          <w:rFonts w:ascii="Calibri" w:cs="Calibri" w:eastAsia="Calibri" w:hAnsi="Calibri"/>
          <w:b/>
          <w:bCs/>
          <w:color w:val="2E4272"/>
          <w:sz w:val="26"/>
          <w:szCs w:val="26"/>
        </w:rPr>
        <w:t xml:space="preserve">5.8.4. Savings on specialist mental health services and the Mental Health Centres</w:t>
      </w:r>
    </w:p>
    <w:p>
      <w:pPr>
        <w:spacing w:after="150" w:line="276"/>
        <w:jc w:val="both"/>
      </w:pPr>
      <w:r>
        <w:rPr>
          <w:rFonts w:ascii="Cambria" w:cs="Cambria" w:eastAsia="Cambria" w:hAnsi="Cambria"/>
          <w:b w:val="false"/>
          <w:bCs w:val="false"/>
          <w:color w:val="1A1A1A"/>
          <w:sz w:val="22"/>
          <w:szCs w:val="22"/>
        </w:rPr>
        <w:t xml:space="preserve">Expenditure on psychiatric care and mental health in Apulia has been estimated at approximately €270 million per year, in line with the national figure of 3% of the Health Fund. The Departments of Mental Health and the Mental Health Centres intercept approximately 55,000 users, against a much larger population of people with psychological distress who remain in the care of primary care or outside the system altogether.</w:t>
      </w:r>
    </w:p>
    <w:p>
      <w:pPr>
        <w:spacing w:after="150" w:line="276"/>
        <w:jc w:val="both"/>
      </w:pPr>
      <w:r>
        <w:rPr>
          <w:rFonts w:ascii="Cambria" w:cs="Cambria" w:eastAsia="Cambria" w:hAnsi="Cambria"/>
          <w:b w:val="false"/>
          <w:bCs w:val="false"/>
          <w:color w:val="1A1A1A"/>
          <w:sz w:val="22"/>
          <w:szCs w:val="22"/>
        </w:rPr>
        <w:t xml:space="preserve">The systematic introduction of the Primary Care Psychologist performs a filtering function towards specialist services. In particular, it allows: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direct management of mild and moderate anxiety and depressive disorders, somatisation and adjustment disorders, avoiding referrals to the Mental Health Centres for presentations that do not necessarily require psychiatric treatment;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shared follow-up of cases managed by the Departments of Mental Health, reducing the average duration of specialist care for a share of patients;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reduction in inappropriate access to psychiatric emergency services and admissions to psychiatric wards for crises that can be intercepted and managed at an early stage within the territory.</w:t>
      </w:r>
    </w:p>
    <w:p>
      <w:pPr>
        <w:spacing w:after="150" w:line="276"/>
        <w:jc w:val="both"/>
      </w:pPr>
      <w:r>
        <w:rPr>
          <w:rFonts w:ascii="Cambria" w:cs="Cambria" w:eastAsia="Cambria" w:hAnsi="Cambria"/>
          <w:b w:val="false"/>
          <w:bCs w:val="false"/>
          <w:color w:val="1A1A1A"/>
          <w:sz w:val="22"/>
          <w:szCs w:val="22"/>
        </w:rPr>
        <w:t xml:space="preserve">In the recalibrated model, a prudent 10% reduction in overall mental health expenditure is assumed, distributing the approximately €27 million of direct saving as follows: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share of around 30% (€8–9 million) corresponds to fewer psychiatric admissions and fewer days of hospitalisation;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share of around 35% (€9–10 million) concerns reduced costs for residential and semi-residential facilities, where the intervention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allows high-intensity care pathways for common disorders to be contained or avoided;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remaining share, approximately 35% (€9–10 million), is attributable to a reduction in outpatient and home-based services provided by the Mental Health Centres for mild-to-moderate presentations that find an appropriate response within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pathways.</w:t>
      </w:r>
    </w:p>
    <w:p>
      <w:pPr>
        <w:spacing w:after="150" w:line="276"/>
        <w:jc w:val="both"/>
      </w:pPr>
      <w:r>
        <w:rPr>
          <w:rFonts w:ascii="Cambria" w:cs="Cambria" w:eastAsia="Cambria" w:hAnsi="Cambria"/>
          <w:b w:val="false"/>
          <w:bCs w:val="false"/>
          <w:color w:val="1A1A1A"/>
          <w:sz w:val="22"/>
          <w:szCs w:val="22"/>
        </w:rPr>
        <w:t xml:space="preserve">This breakdown shows that the saving on the Mental Health Centres is not a simple “across-the-board cut”, but the result of a different distribution of the care burden between the first psychological level and specialist services, strengthening the capacity of the Departments of Mental Health to concentrate on severe and complex disorders.</w:t>
      </w:r>
    </w:p>
    <w:p>
      <w:pPr>
        <w:keepNext/>
        <w:spacing w:after="120" w:before="300" w:line="264"/>
        <w:outlineLvl w:val="1"/>
      </w:pPr>
      <w:r>
        <w:rPr>
          <w:rFonts w:ascii="Calibri" w:cs="Calibri" w:eastAsia="Calibri" w:hAnsi="Calibri"/>
          <w:b/>
          <w:bCs/>
          <w:color w:val="16264B"/>
          <w:sz w:val="30"/>
          <w:szCs w:val="30"/>
        </w:rPr>
        <w:t xml:space="preserve">5.9. Time-horizon scenarios at 1–3–5–10 years: demography, depopulation and immigration</w:t>
      </w:r>
    </w:p>
    <w:p>
      <w:pPr>
        <w:keepNext/>
        <w:spacing w:after="80" w:before="220" w:line="260"/>
        <w:outlineLvl w:val="2"/>
      </w:pPr>
      <w:r>
        <w:rPr>
          <w:rFonts w:ascii="Calibri" w:cs="Calibri" w:eastAsia="Calibri" w:hAnsi="Calibri"/>
          <w:b/>
          <w:bCs/>
          <w:color w:val="2E4272"/>
          <w:sz w:val="26"/>
          <w:szCs w:val="26"/>
        </w:rPr>
        <w:t xml:space="preserve">5.9.1. The 2024–2034 demographic picture for Italy and Apulia</w:t>
      </w:r>
    </w:p>
    <w:p>
      <w:pPr>
        <w:spacing w:after="150" w:line="276"/>
        <w:jc w:val="both"/>
      </w:pPr>
      <w:r>
        <w:rPr>
          <w:rFonts w:ascii="Cambria" w:cs="Cambria" w:eastAsia="Cambria" w:hAnsi="Cambria"/>
          <w:b w:val="false"/>
          <w:bCs w:val="false"/>
          <w:color w:val="1A1A1A"/>
          <w:sz w:val="22"/>
          <w:szCs w:val="22"/>
        </w:rPr>
        <w:t xml:space="preserve">The most recent ISTAT demographic forecasts and the regional Statistical Office's focus reports converge in outlining, for Italy and for Apulia, a future characterised by three structural trends: a decrease in the overall number of residents, accelerated population ageing, and depopulation of inland areas and the South, partially offset by migration from abroad.</w:t>
      </w:r>
    </w:p>
    <w:p>
      <w:pPr>
        <w:spacing w:after="150" w:line="276"/>
        <w:jc w:val="both"/>
      </w:pPr>
      <w:r>
        <w:rPr>
          <w:rFonts w:ascii="Cambria" w:cs="Cambria" w:eastAsia="Cambria" w:hAnsi="Cambria"/>
          <w:b w:val="false"/>
          <w:bCs w:val="false"/>
          <w:color w:val="1A1A1A"/>
          <w:sz w:val="22"/>
          <w:szCs w:val="22"/>
        </w:rPr>
        <w:t xml:space="preserve">At the national level, projections for 2024–2050 indicate that the resident population will fall from approximately 59 million to 54.7 million by 2050, a gradual but steady decline. Over the same period, the share of people aged 65 and over will rise from 24.3% to 34.6%, while the population aged 15–64 will fall from 63.5% to 54.3%. In other words, Italy will have fewer residents, but far more older people and far more single-person households.</w:t>
      </w:r>
    </w:p>
    <w:p>
      <w:pPr>
        <w:spacing w:after="150" w:line="276"/>
        <w:jc w:val="both"/>
      </w:pPr>
      <w:r>
        <w:rPr>
          <w:rFonts w:ascii="Cambria" w:cs="Cambria" w:eastAsia="Cambria" w:hAnsi="Cambria"/>
          <w:b w:val="false"/>
          <w:bCs w:val="false"/>
          <w:color w:val="1A1A1A"/>
          <w:sz w:val="22"/>
          <w:szCs w:val="22"/>
        </w:rPr>
        <w:t xml:space="preserve">The demographic focus on the Apulia Region, based on ISTAT forecasts, shows that the Apulian population is already declining: between 2012 and 2022 the Region lost approximately 4.4% of its residents. In the median scenario, the population is projected to stand at around 3.76 million inhabitants in 2030 (approximately 160,000 fewer than in 2022) and at approximately 3.5 million in 2040, a further reduction of more than 200,000 residents. This is a depopulation dynamic that mainly concerns young people and those of working age, while the absolute number of older people remains stable or increases.</w:t>
      </w:r>
    </w:p>
    <w:p>
      <w:pPr>
        <w:spacing w:after="150" w:line="276"/>
        <w:jc w:val="both"/>
      </w:pPr>
      <w:r>
        <w:rPr>
          <w:rFonts w:ascii="Cambria" w:cs="Cambria" w:eastAsia="Cambria" w:hAnsi="Cambria"/>
          <w:b w:val="false"/>
          <w:bCs w:val="false"/>
          <w:color w:val="1A1A1A"/>
          <w:sz w:val="22"/>
          <w:szCs w:val="22"/>
        </w:rPr>
        <w:t xml:space="preserve">At the same time, migration from abroad continues to make a positive contribution, but one insufficient to offset the strongly negative natural balance. Foreign nationals, often belonging to socioeconomically vulnerable groups, in turn present specific mental health and psychological support needs linked to migration stress, precarious employment and discrimination.</w:t>
      </w:r>
    </w:p>
    <w:p>
      <w:pPr>
        <w:spacing w:after="150" w:line="276"/>
        <w:jc w:val="both"/>
      </w:pPr>
      <w:r>
        <w:rPr>
          <w:rFonts w:ascii="Cambria" w:cs="Cambria" w:eastAsia="Cambria" w:hAnsi="Cambria"/>
          <w:b w:val="false"/>
          <w:bCs w:val="false"/>
          <w:color w:val="1A1A1A"/>
          <w:sz w:val="22"/>
          <w:szCs w:val="22"/>
        </w:rPr>
        <w:t xml:space="preserve">From the standpoint of health needs, and in particular of demand for psychological services, this scenario implies that, even against a slight reduction in the overall number of residents, the burden of chronic conditions and of mental and psychosomatic disorders will tend to increase. Population ageing, increasing loneliness, and the persistence of psychosocial risk factors (youth unemployment, precarious employment, educational poverty) therefore make it reasonable to assume, in real terms, growth in potential demand for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over the next decade.</w:t>
      </w:r>
    </w:p>
    <w:p>
      <w:pPr>
        <w:keepNext/>
        <w:spacing w:after="80" w:before="220" w:line="260"/>
        <w:outlineLvl w:val="2"/>
      </w:pPr>
      <w:r>
        <w:rPr>
          <w:rFonts w:ascii="Calibri" w:cs="Calibri" w:eastAsia="Calibri" w:hAnsi="Calibri"/>
          <w:b/>
          <w:bCs/>
          <w:color w:val="2E4272"/>
          <w:sz w:val="26"/>
          <w:szCs w:val="26"/>
        </w:rPr>
        <w:t xml:space="preserve">5.9.2. Basic assumptions for the time-horizon modelling</w:t>
      </w:r>
    </w:p>
    <w:p>
      <w:pPr>
        <w:spacing w:after="150" w:line="276"/>
        <w:jc w:val="both"/>
      </w:pPr>
      <w:r>
        <w:rPr>
          <w:rFonts w:ascii="Cambria" w:cs="Cambria" w:eastAsia="Cambria" w:hAnsi="Cambria"/>
          <w:b w:val="false"/>
          <w:bCs w:val="false"/>
          <w:color w:val="1A1A1A"/>
          <w:sz w:val="22"/>
          <w:szCs w:val="22"/>
        </w:rPr>
        <w:t xml:space="preserve">To construct the 1–3–5–10-year scenarios, certain operational assumptions are adopted, which allow both the costs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and the direct savings for the Apulian Regional Health Service to be projected over time, holding values constant in 2024 euros: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Service start-up and implementation curve. It is assumed that the establishment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begins with coverage equal to approximately 30% of the final target in the first year (240 psychologists), rising to 60% by the third year (480–500 psychologists), to 100% by the fifth year (800 psychologists), and stabilising at this level in subsequent years.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Learning curve and organisational integration. The experience of programmes such as IAPT suggests that the full savings potential is not realised immediately, but only after some years of protocol refinement, staff training, development of information systems, and consolidation of collaboration with General Practitioners. In this model it is assumed that the economic effectiveness of the service reaches approximately 50% of its potential in the first year, 70–75% by the third, and 100% by the fifth.</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Demographic and health-expenditure dynamics. Even allowing for a moderate decline in the Apulian population (approximately 3–4% over ten years in the median scenario), ageing and increasing multimorbidity produce an underlying growth in expenditure in the areas most directly affected by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pharmaceuticals, specialist care, diagnostics and mental health. With policies held constant, it is reasonable to assume real annual growth in expenditure in these areas of the order of 1–1.5%, which over ten years implies a cumulative increase of around 10–15%.</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Population treated. At steady state, with 800 psychologists, the assumption of approximately 195,000 patients treated each year (equal to approximately 5% of the population) is maintained, with a rate of clinically significant improvement of 50%. In the initial phases, the population treated grows in parallel with the service's coverage.</w:t>
      </w:r>
    </w:p>
    <w:p>
      <w:pPr>
        <w:keepNext/>
        <w:spacing w:after="80" w:before="220" w:line="260"/>
        <w:outlineLvl w:val="2"/>
      </w:pPr>
      <w:r>
        <w:rPr>
          <w:rFonts w:ascii="Calibri" w:cs="Calibri" w:eastAsia="Calibri" w:hAnsi="Calibri"/>
          <w:b/>
          <w:bCs/>
          <w:color w:val="2E4272"/>
          <w:sz w:val="26"/>
          <w:szCs w:val="26"/>
        </w:rPr>
        <w:t xml:space="preserve">5.9.3. Scenario at 1 year</w:t>
      </w:r>
    </w:p>
    <w:p>
      <w:pPr>
        <w:spacing w:after="150" w:line="276"/>
        <w:jc w:val="both"/>
      </w:pPr>
      <w:r>
        <w:rPr>
          <w:rFonts w:ascii="Cambria" w:cs="Cambria" w:eastAsia="Cambria" w:hAnsi="Cambria"/>
          <w:b w:val="false"/>
          <w:bCs w:val="false"/>
          <w:color w:val="1A1A1A"/>
          <w:sz w:val="22"/>
          <w:szCs w:val="22"/>
        </w:rPr>
        <w:t xml:space="preserve">In the first year of implementation, with a staffing level of approximately 240 Primary Care Psychologists (30% of the final complement), the service is present uniformly but not yet pervasively. The priority is initial training, the construction of protocols shared with GPs, and the launch of the first integrated pathways within the Community Houses.</w:t>
      </w:r>
    </w:p>
    <w:p>
      <w:pPr>
        <w:spacing w:after="150" w:line="276"/>
        <w:jc w:val="both"/>
      </w:pPr>
      <w:r>
        <w:rPr>
          <w:rFonts w:ascii="Cambria" w:cs="Cambria" w:eastAsia="Cambria" w:hAnsi="Cambria"/>
          <w:b w:val="false"/>
          <w:bCs w:val="false"/>
          <w:color w:val="1A1A1A"/>
          <w:sz w:val="22"/>
          <w:szCs w:val="22"/>
        </w:rPr>
        <w:t xml:space="preserve">At this stage, the overall annual cost of the Service (including salaries, intensive training, supervision, IT infrastructure and governance) can be placed in the order of €18–20 million. Economic effectiveness, in terms of direct savings, can be estimated at approximately 25–30% of the steady-state potential, taking into account the smaller number of patients treated and the learning curve.</w:t>
      </w:r>
    </w:p>
    <w:p>
      <w:pPr>
        <w:spacing w:after="150" w:line="276"/>
        <w:jc w:val="both"/>
      </w:pPr>
      <w:r>
        <w:rPr>
          <w:rFonts w:ascii="Cambria" w:cs="Cambria" w:eastAsia="Cambria" w:hAnsi="Cambria"/>
          <w:b w:val="false"/>
          <w:bCs w:val="false"/>
          <w:color w:val="1A1A1A"/>
          <w:sz w:val="22"/>
          <w:szCs w:val="22"/>
        </w:rPr>
        <w:t xml:space="preserve">This means that, already in the first year, direct savings for the Apulian Regional Health Service can fall within a plausible range of €70–90 million, deriving mainly from an initial reduction in pharmacological prescriptions and diagnostic tests among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and from a first filtering effect on referrals to the Mental Health Centres. The cost-benefit ratio is already above parity, with a prudential ROI of approximately €3–4 in savings for every euro invested, albeit with strong territorial variability linked to the quality of implementation.</w:t>
      </w:r>
    </w:p>
    <w:p>
      <w:pPr>
        <w:keepNext/>
        <w:spacing w:after="80" w:before="220" w:line="260"/>
        <w:outlineLvl w:val="2"/>
      </w:pPr>
      <w:r>
        <w:rPr>
          <w:rFonts w:ascii="Calibri" w:cs="Calibri" w:eastAsia="Calibri" w:hAnsi="Calibri"/>
          <w:b/>
          <w:bCs/>
          <w:color w:val="2E4272"/>
          <w:sz w:val="26"/>
          <w:szCs w:val="26"/>
        </w:rPr>
        <w:t xml:space="preserve">5.9.4. Scenario at 3 years</w:t>
      </w:r>
    </w:p>
    <w:p>
      <w:pPr>
        <w:spacing w:after="150" w:line="276"/>
        <w:jc w:val="both"/>
      </w:pPr>
      <w:r>
        <w:rPr>
          <w:rFonts w:ascii="Cambria" w:cs="Cambria" w:eastAsia="Cambria" w:hAnsi="Cambria"/>
          <w:b w:val="false"/>
          <w:bCs w:val="false"/>
          <w:color w:val="1A1A1A"/>
          <w:sz w:val="22"/>
          <w:szCs w:val="22"/>
        </w:rPr>
        <w:t xml:space="preserve">By the third year, the service has reached coverage of around 60% of the planned complement (approximately 480–500 psychologists) and has consolidated operational collaboration with the majority of GPs and Community Houses. Information systems for monitoring outcomes and costs are active, basic training is complete, and clinical supervision is at steady state.</w:t>
      </w:r>
    </w:p>
    <w:p>
      <w:pPr>
        <w:spacing w:after="150" w:line="276"/>
        <w:jc w:val="both"/>
      </w:pPr>
      <w:r>
        <w:rPr>
          <w:rFonts w:ascii="Cambria" w:cs="Cambria" w:eastAsia="Cambria" w:hAnsi="Cambria"/>
          <w:b w:val="false"/>
          <w:bCs w:val="false"/>
          <w:color w:val="1A1A1A"/>
          <w:sz w:val="22"/>
          <w:szCs w:val="22"/>
        </w:rPr>
        <w:t xml:space="preserve">At this stage, annual costs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can approach €30–32 million, while economic effectiveness is estimated at around 70–75% of potential. Taking into account also the relative increase in the older population and the underlying growth in expenditure on medications, specialist care and mental health, it is realistic to place overall direct savings within a range of €180–210 million.</w:t>
      </w:r>
    </w:p>
    <w:p>
      <w:pPr>
        <w:spacing w:after="150" w:line="276"/>
        <w:jc w:val="both"/>
      </w:pPr>
      <w:r>
        <w:rPr>
          <w:rFonts w:ascii="Cambria" w:cs="Cambria" w:eastAsia="Cambria" w:hAnsi="Cambria"/>
          <w:b w:val="false"/>
          <w:bCs w:val="false"/>
          <w:color w:val="1A1A1A"/>
          <w:sz w:val="22"/>
          <w:szCs w:val="22"/>
        </w:rPr>
        <w:t xml:space="preserve">The ROI thus stands at values of between 5:1 and 6:1: for every euro invested in the service, the Regional Health Service recovers between five and six euros in direct savings, without yet considering the indirect effects on labour productivity and quality of life.</w:t>
      </w:r>
    </w:p>
    <w:p>
      <w:pPr>
        <w:keepNext/>
        <w:spacing w:after="80" w:before="220" w:line="260"/>
        <w:outlineLvl w:val="2"/>
      </w:pPr>
      <w:r>
        <w:rPr>
          <w:rFonts w:ascii="Calibri" w:cs="Calibri" w:eastAsia="Calibri" w:hAnsi="Calibri"/>
          <w:b/>
          <w:bCs/>
          <w:color w:val="2E4272"/>
          <w:sz w:val="26"/>
          <w:szCs w:val="26"/>
        </w:rPr>
        <w:t xml:space="preserve">5.9.5. Scenario at 5 years</w:t>
      </w:r>
    </w:p>
    <w:p>
      <w:pPr>
        <w:spacing w:after="150" w:line="276"/>
        <w:jc w:val="both"/>
      </w:pPr>
      <w:r>
        <w:rPr>
          <w:rFonts w:ascii="Cambria" w:cs="Cambria" w:eastAsia="Cambria" w:hAnsi="Cambria"/>
          <w:b w:val="false"/>
          <w:bCs w:val="false"/>
          <w:color w:val="1A1A1A"/>
          <w:sz w:val="22"/>
          <w:szCs w:val="22"/>
        </w:rPr>
        <w:t xml:space="preserve">The fifth year coincides, in the model, with the planned full steady state: 800 Primary Care Psychologists, uniform coverage of the Region, structural integration within the Community Houses and Primary Care Units, fully operational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 systems, and consolidated collaboration with the Departments of Mental Health.</w:t>
      </w:r>
    </w:p>
    <w:p>
      <w:pPr>
        <w:spacing w:after="150" w:line="276"/>
        <w:jc w:val="both"/>
      </w:pPr>
      <w:r>
        <w:rPr>
          <w:rFonts w:ascii="Cambria" w:cs="Cambria" w:eastAsia="Cambria" w:hAnsi="Cambria"/>
          <w:b w:val="false"/>
          <w:bCs w:val="false"/>
          <w:color w:val="1A1A1A"/>
          <w:sz w:val="22"/>
          <w:szCs w:val="22"/>
        </w:rPr>
        <w:t xml:space="preserve">At this point, the Service's annual costs, calculated in constant 2024 euros, stand between €38 and 41 million. Economic effectiveness has reached 100% of the modelled potential, while demographic ageing has already appreciably increased the weight of chronic disorders and psycho-physical comorbidities.</w:t>
      </w:r>
    </w:p>
    <w:p>
      <w:pPr>
        <w:spacing w:after="150" w:line="276"/>
        <w:jc w:val="both"/>
      </w:pPr>
      <w:r>
        <w:rPr>
          <w:rFonts w:ascii="Cambria" w:cs="Cambria" w:eastAsia="Cambria" w:hAnsi="Cambria"/>
          <w:b w:val="false"/>
          <w:bCs w:val="false"/>
          <w:color w:val="1A1A1A"/>
          <w:sz w:val="22"/>
          <w:szCs w:val="22"/>
        </w:rPr>
        <w:t xml:space="preserve">In this central 5-year scenario, direct savings for the Apulian Regional Health Service are positioned at around €250–280 million per year. The figure of €270 million, used as the principal estimate in this Chapter, is consistent with these assumptions. The cost-benefit ratio stabilises at values of between 6:1 and 7:1, making it clear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does not constitute an additional cost, but an investment with an economic return far above the average for healthcare interventions.</w:t>
      </w:r>
    </w:p>
    <w:p>
      <w:pPr>
        <w:keepNext/>
        <w:spacing w:after="80" w:before="220" w:line="260"/>
        <w:outlineLvl w:val="2"/>
      </w:pPr>
      <w:r>
        <w:rPr>
          <w:rFonts w:ascii="Calibri" w:cs="Calibri" w:eastAsia="Calibri" w:hAnsi="Calibri"/>
          <w:b/>
          <w:bCs/>
          <w:color w:val="2E4272"/>
          <w:sz w:val="26"/>
          <w:szCs w:val="26"/>
        </w:rPr>
        <w:t xml:space="preserve">5.9.6. Scenario at 10 years</w:t>
      </w:r>
    </w:p>
    <w:p>
      <w:pPr>
        <w:spacing w:after="150" w:line="276"/>
        <w:jc w:val="both"/>
      </w:pPr>
      <w:r>
        <w:rPr>
          <w:rFonts w:ascii="Cambria" w:cs="Cambria" w:eastAsia="Cambria" w:hAnsi="Cambria"/>
          <w:b w:val="false"/>
          <w:bCs w:val="false"/>
          <w:color w:val="1A1A1A"/>
          <w:sz w:val="22"/>
          <w:szCs w:val="22"/>
        </w:rPr>
        <w:t xml:space="preserve">Ten years after start-up, the system has completed its learning curve and can fully benefit from the cumulative effects on the population's health. In the median demographic scenario, the Apulian population has shrunk by a few percentage points, but the share of older people and of people with multimorbidity has increased significantly. Potential expenditure on medications, specialist care and mental health, with unchanged policies, would be approximately 10–15% higher than at the time the Service was launched.</w:t>
      </w:r>
    </w:p>
    <w:p>
      <w:pPr>
        <w:spacing w:after="150" w:line="276"/>
        <w:jc w:val="both"/>
      </w:pPr>
      <w:r>
        <w:rPr>
          <w:rFonts w:ascii="Cambria" w:cs="Cambria" w:eastAsia="Cambria" w:hAnsi="Cambria"/>
          <w:b w:val="false"/>
          <w:bCs w:val="false"/>
          <w:color w:val="1A1A1A"/>
          <w:sz w:val="22"/>
          <w:szCs w:val="22"/>
        </w:rPr>
        <w:t xml:space="preserve">With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in place, the increase in demand linked to ageing is offset, and partly reversed, by the greater effectiveness of integrated psychological interventions. In constant 2024 euros, it is plausible that annual direct savings could rise to a range of €290–330 million, owing both to the maintenance of the levels of diagnostic and therapeutic appropriateness already achieved, and to the cumulative effect of secondary and tertiary prevention on relapses, chronicisation and disease progression.</w:t>
      </w:r>
    </w:p>
    <w:p>
      <w:pPr>
        <w:spacing w:after="150" w:line="276"/>
        <w:jc w:val="both"/>
      </w:pPr>
      <w:r>
        <w:rPr>
          <w:rFonts w:ascii="Cambria" w:cs="Cambria" w:eastAsia="Cambria" w:hAnsi="Cambria"/>
          <w:b w:val="false"/>
          <w:bCs w:val="false"/>
          <w:color w:val="1A1A1A"/>
          <w:sz w:val="22"/>
          <w:szCs w:val="22"/>
        </w:rPr>
        <w:t xml:space="preserve">Against Service costs that, for an unchanged complement, remain in the order of €40 million per year (net of contractual adjustments to be considered under dedicated scenarios), the direct healthcare ROI thus stands at a range of 7–8:1. Ageing, the depopulation of inland areas and selective immigration do not reduce the usefulness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but rather reinforce its necessity: in a context with fewer young people, more older people and greater social fragility, investing in first-level psychological interventions becomes one of the few strategies capable of containing expenditure growth without sacrificing equity and quality.</w:t>
      </w:r>
    </w:p>
    <w:p>
      <w:pPr>
        <w:keepNext/>
        <w:spacing w:after="80" w:before="220" w:line="260"/>
        <w:outlineLvl w:val="2"/>
      </w:pPr>
      <w:r>
        <w:rPr>
          <w:rFonts w:ascii="Calibri" w:cs="Calibri" w:eastAsia="Calibri" w:hAnsi="Calibri"/>
          <w:b/>
          <w:bCs/>
          <w:color w:val="2E4272"/>
          <w:sz w:val="26"/>
          <w:szCs w:val="26"/>
        </w:rPr>
        <w:t xml:space="preserve">5.9.7. Methodological summary of the scenarios</w:t>
      </w:r>
    </w:p>
    <w:p>
      <w:pPr>
        <w:spacing w:after="150" w:line="276"/>
        <w:jc w:val="both"/>
      </w:pPr>
      <w:r>
        <w:rPr>
          <w:rFonts w:ascii="Cambria" w:cs="Cambria" w:eastAsia="Cambria" w:hAnsi="Cambria"/>
          <w:b w:val="false"/>
          <w:bCs w:val="false"/>
          <w:color w:val="1A1A1A"/>
          <w:sz w:val="22"/>
          <w:szCs w:val="22"/>
        </w:rPr>
        <w:t xml:space="preserve">The 1–3–5–10-year scenarios should not be understood as point forecasts, but as coherent representations of the possible economic impact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in Apulia in light of demographic trends, certified expenditure data and available clinical evidence. All assumptions have been formulated prudently, adopting intermediate values where the literature offers estimate ranges, and attributing to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only shares of savings that are difficult to contest.</w:t>
      </w:r>
    </w:p>
    <w:p>
      <w:pPr>
        <w:spacing w:after="150" w:line="276"/>
        <w:jc w:val="both"/>
      </w:pPr>
      <w:r>
        <w:rPr>
          <w:rFonts w:ascii="Cambria" w:cs="Cambria" w:eastAsia="Cambria" w:hAnsi="Cambria"/>
          <w:b w:val="false"/>
          <w:bCs w:val="false"/>
          <w:color w:val="1A1A1A"/>
          <w:sz w:val="22"/>
          <w:szCs w:val="22"/>
        </w:rPr>
        <w:t xml:space="preserve">Taken together, these scenarios show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initial investment in the early years is amply offset by savings generated from as early as the third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the medium term (5 years),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emerges as one of the few interventions capable of producing significant net savings in the order of hundreds of millions of euros per year, against a stable and predictable investment;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the long term (10 years), the service contributes structurally to making the management of demographic ageing and health inequalities sustainable, with a cost-benefit ratio stably exceeding 7:1.</w:t>
      </w:r>
    </w:p>
    <w:p>
      <w:pPr>
        <w:spacing w:after="150" w:line="276"/>
        <w:jc w:val="both"/>
      </w:pPr>
      <w:r>
        <w:rPr>
          <w:rFonts w:ascii="Cambria" w:cs="Cambria" w:eastAsia="Cambria" w:hAnsi="Cambria"/>
          <w:b w:val="false"/>
          <w:bCs w:val="false"/>
          <w:color w:val="1A1A1A"/>
          <w:sz w:val="22"/>
          <w:szCs w:val="22"/>
        </w:rPr>
        <w:t xml:space="preserve">This modelling, integrated with the preceding chapters, provides regional planners with a robust tool for justifying the establishment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not only on ethical and clinical grounds, but also on economic and macro-organisational grounds.</w:t>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CHAPTER 6 — Evidence-based quantification of the indirect and macroeconomic savings generated by the Primary Care Psychology Service in Apulia</w:t>
      </w:r>
    </w:p>
    <w:p>
      <w:pPr>
        <w:keepNext/>
        <w:spacing w:after="120" w:before="300" w:line="264"/>
        <w:outlineLvl w:val="1"/>
      </w:pPr>
      <w:r>
        <w:rPr>
          <w:rFonts w:ascii="Calibri" w:cs="Calibri" w:eastAsia="Calibri" w:hAnsi="Calibri"/>
          <w:b/>
          <w:bCs/>
          <w:color w:val="16264B"/>
          <w:sz w:val="30"/>
          <w:szCs w:val="30"/>
        </w:rPr>
        <w:t xml:space="preserve">6.1. Foreword and objective of the revision</w:t>
      </w:r>
    </w:p>
    <w:p>
      <w:pPr>
        <w:spacing w:after="150" w:line="276"/>
        <w:jc w:val="both"/>
      </w:pPr>
      <w:r>
        <w:rPr>
          <w:rFonts w:ascii="Cambria" w:cs="Cambria" w:eastAsia="Cambria" w:hAnsi="Cambria"/>
          <w:b w:val="false"/>
          <w:bCs w:val="false"/>
          <w:color w:val="1A1A1A"/>
          <w:sz w:val="22"/>
          <w:szCs w:val="22"/>
        </w:rPr>
        <w:t xml:space="preserve">This Chapter substantially reformulates and expands the estimate of the indirect savings and macroeconomic returns associated with the establishment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in light of three groups of evidence: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new national and European data on the overall costs of mental health, including productivity, welfare and family costs;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the findings of the pilot studies coordinated by Luigi Solano on the model of a psychologist co-located with the General Practitioner (GP), which show a systematic reduction in specialist visits, diagnostic investigations and inappropriate pharmacological prescriptions, particularly for psychosomatic disorders;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international best practice in primary care systems with a high degree of psychological integration (the United Kingdom, the Netherlands, the Nordic countries, Australia, New Zealand), which document a substantial reduction in indirect costs (absenteeism, presenteeism, disability, family impoverishment) when common mental disorders are treated at an early stage in primary care.</w:t>
      </w:r>
    </w:p>
    <w:p>
      <w:pPr>
        <w:spacing w:after="150" w:line="276"/>
        <w:jc w:val="both"/>
      </w:pPr>
      <w:r>
        <w:rPr>
          <w:rFonts w:ascii="Cambria" w:cs="Cambria" w:eastAsia="Cambria" w:hAnsi="Cambria"/>
          <w:b w:val="false"/>
          <w:bCs w:val="false"/>
          <w:color w:val="1A1A1A"/>
          <w:sz w:val="22"/>
          <w:szCs w:val="22"/>
        </w:rPr>
        <w:t xml:space="preserve">The Chapter remains consistent with the quantitative findings of Chapters 1–5: the overall costs of implementing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stand firmly within the range of €37.8–42.5 million per year at steady state, with a complement of between 800 and 900 psychologists distributed across the regional territory. On this basis, the indirect-savings component — deliberately prudential, and therefore understated, in the first estimation exercise — is now recalculated with greater granularity.</w:t>
      </w:r>
    </w:p>
    <w:p>
      <w:pPr>
        <w:keepNext/>
        <w:spacing w:after="120" w:before="300" w:line="264"/>
        <w:outlineLvl w:val="1"/>
      </w:pPr>
      <w:r>
        <w:rPr>
          <w:rFonts w:ascii="Calibri" w:cs="Calibri" w:eastAsia="Calibri" w:hAnsi="Calibri"/>
          <w:b/>
          <w:bCs/>
          <w:color w:val="16264B"/>
          <w:sz w:val="30"/>
          <w:szCs w:val="30"/>
        </w:rPr>
        <w:t xml:space="preserve">6.2. Updated picture of mental health costs: Italy, Apulia, Europe</w:t>
      </w:r>
    </w:p>
    <w:p>
      <w:pPr>
        <w:spacing w:after="150" w:line="276"/>
        <w:jc w:val="both"/>
      </w:pPr>
      <w:r>
        <w:rPr>
          <w:rFonts w:ascii="Cambria" w:cs="Cambria" w:eastAsia="Cambria" w:hAnsi="Cambria"/>
          <w:b w:val="false"/>
          <w:bCs w:val="false"/>
          <w:color w:val="1A1A1A"/>
          <w:sz w:val="22"/>
          <w:szCs w:val="22"/>
        </w:rPr>
        <w:t xml:space="preserve">The most recent European studies indicate that mental disorders generate overall costs equal to approximately 4% of gross domestic product in EU countries. These costs comprise a share of direct healthcare expenditure (hospitalisations, visits, medications), a share of social expenditure (disability, benefits, social services), and a very significant share of indirect costs from lost productivity (absenteeism, presenteeism, withdrawal from employment, premature exit from the labour market).</w:t>
      </w:r>
    </w:p>
    <w:p>
      <w:pPr>
        <w:spacing w:after="150" w:line="276"/>
        <w:jc w:val="both"/>
      </w:pPr>
      <w:r>
        <w:rPr>
          <w:rFonts w:ascii="Cambria" w:cs="Cambria" w:eastAsia="Cambria" w:hAnsi="Cambria"/>
          <w:b w:val="false"/>
          <w:bCs w:val="false"/>
          <w:color w:val="1A1A1A"/>
          <w:sz w:val="22"/>
          <w:szCs w:val="22"/>
        </w:rPr>
        <w:t xml:space="preserve">For Italy, a recent analysis estimated an overall annual burden of approximately €83 billion for mental disorders: approximately €20 billion of direct health and social-health expenditure and approximately €63 billion of lost productivity costs. The direct share of health expenditure specifically allocated to mental health represents approximately 3.4% of total public health expenditure; however, this item does not capture the entire healthcare cost of mental disorders, which also manifest as inappropriate Emergency Department visits, repeated specialist visits, redundant diagnostic investigations, and medications administered without clear indication or continued for excessively long periods.</w:t>
      </w:r>
    </w:p>
    <w:p>
      <w:pPr>
        <w:spacing w:after="150" w:line="276"/>
        <w:jc w:val="both"/>
      </w:pPr>
      <w:r>
        <w:rPr>
          <w:rFonts w:ascii="Cambria" w:cs="Cambria" w:eastAsia="Cambria" w:hAnsi="Cambria"/>
          <w:b w:val="false"/>
          <w:bCs w:val="false"/>
          <w:color w:val="1A1A1A"/>
          <w:sz w:val="22"/>
          <w:szCs w:val="22"/>
        </w:rPr>
        <w:t xml:space="preserve">To bring these values down to the Apulian context, a dual proportionality criterion was adopted, based both on the weight of regional GDP relative to national GDP and on the epidemiological specificity of Southern Italy: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Apulian GDP in 2022 stood at around €76.3 billion, equal to approximately 3.8% of national GDP;</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Apulia accounts for approximately 6.6% of the Italian population, but with rates of unemployment, precarious employment, material deprivation and chronic morbidity above the national average — all factors that increase vulnerability to mental and psychosomatic disorders.</w:t>
      </w:r>
    </w:p>
    <w:p>
      <w:pPr>
        <w:spacing w:after="150" w:line="276"/>
        <w:jc w:val="both"/>
      </w:pPr>
      <w:r>
        <w:rPr>
          <w:rFonts w:ascii="Cambria" w:cs="Cambria" w:eastAsia="Cambria" w:hAnsi="Cambria"/>
          <w:b w:val="false"/>
          <w:bCs w:val="false"/>
          <w:color w:val="1A1A1A"/>
          <w:sz w:val="22"/>
          <w:szCs w:val="22"/>
        </w:rPr>
        <w:t xml:space="preserve">Taking as the calculation basis the weight of regional GDP relative to national GDP, and allowing for the heightened psychosocial risk in Southern Italy, it is reasonable to estimate that Apulia accounts for a share of between 4% and 4.5% of the national total cost of mental disorders. This yields a regional order of magnitude for annual costs of between €3.3 and 3.7 billion, broken down as follows: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approximately €0.30–0.35 billion of direct health expenditure formally attributed to mental health services (Departments of Mental Health, Mental Health Centres, psychiatric wards, residential and semi-residential facilities, child neuropsychiatry);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approximately €0.5–0.7 billion of health expenditure “not labelled” as mental health but generated by psychological and psychosomatic disorders (inappropriate specialist visits, redundant diagnostics, repeated Emergency Department attendances, prolonged use of psychotropic drugs without periodic review);</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approximately €2.1–2.7 billion of indirect costs: lost productivity, sick leave, early exit from the labour market, early retirement, disability benefits, and costs to families and carers.</w:t>
      </w:r>
    </w:p>
    <w:p>
      <w:pPr>
        <w:spacing w:after="150" w:line="276"/>
        <w:jc w:val="both"/>
      </w:pPr>
      <w:r>
        <w:rPr>
          <w:rFonts w:ascii="Cambria" w:cs="Cambria" w:eastAsia="Cambria" w:hAnsi="Cambria"/>
          <w:b w:val="false"/>
          <w:bCs w:val="false"/>
          <w:color w:val="1A1A1A"/>
          <w:sz w:val="22"/>
          <w:szCs w:val="22"/>
        </w:rPr>
        <w:t xml:space="preserve">These values place Apulia squarely within the European picture: the total cost of mental disorders represents approximately 4–4.8% of regional GDP, with indirect costs accounting for approximately 65–70% of the total.</w:t>
      </w:r>
    </w:p>
    <w:p>
      <w:pPr>
        <w:keepNext/>
        <w:spacing w:after="120" w:before="300" w:line="264"/>
        <w:outlineLvl w:val="1"/>
      </w:pPr>
      <w:r>
        <w:rPr>
          <w:rFonts w:ascii="Calibri" w:cs="Calibri" w:eastAsia="Calibri" w:hAnsi="Calibri"/>
          <w:b/>
          <w:bCs/>
          <w:color w:val="16264B"/>
          <w:sz w:val="30"/>
          <w:szCs w:val="30"/>
        </w:rPr>
        <w:t xml:space="preserve">6.3. The scope of the Primary Care Psychologist's action according to Solano and international studies</w:t>
      </w:r>
    </w:p>
    <w:p>
      <w:pPr>
        <w:spacing w:after="150" w:line="276"/>
        <w:jc w:val="both"/>
      </w:pPr>
      <w:r>
        <w:rPr>
          <w:rFonts w:ascii="Cambria" w:cs="Cambria" w:eastAsia="Cambria" w:hAnsi="Cambria"/>
          <w:b w:val="false"/>
          <w:bCs w:val="false"/>
          <w:color w:val="1A1A1A"/>
          <w:sz w:val="22"/>
          <w:szCs w:val="22"/>
        </w:rPr>
        <w:t xml:space="preserve">The studies conducted by Luigi Solano's group, summarised in the volume </w:t>
      </w:r>
      <w:r>
        <w:rPr>
          <w:rFonts w:ascii="Cambria" w:cs="Cambria" w:eastAsia="Cambria" w:hAnsi="Cambria"/>
          <w:b w:val="false"/>
          <w:bCs w:val="false"/>
          <w:i/>
          <w:iCs/>
          <w:color w:val="1A1A1A"/>
          <w:sz w:val="22"/>
          <w:szCs w:val="22"/>
        </w:rPr>
        <w:t xml:space="preserve">Dal sintomo alla persona</w:t>
      </w:r>
      <w:r>
        <w:rPr>
          <w:rFonts w:ascii="Cambria" w:cs="Cambria" w:eastAsia="Cambria" w:hAnsi="Cambria"/>
          <w:b w:val="false"/>
          <w:bCs w:val="false"/>
          <w:color w:val="1A1A1A"/>
          <w:sz w:val="22"/>
          <w:szCs w:val="22"/>
        </w:rPr>
        <w:t xml:space="preserve"> (“From Symptom to Person”) and in subsequent work, document that at least 50% of the requests reaching the general practitioner in fact express a predominantly relational-existential or psychosomatic form of distress rather than an isolated organic problem. The share of patients with recurrent somatic symptoms and negative or inconclusive investigations lies between 20% and 30% of GPs' regular attenders.</w:t>
      </w:r>
    </w:p>
    <w:p>
      <w:pPr>
        <w:spacing w:after="150" w:line="276"/>
        <w:jc w:val="both"/>
      </w:pPr>
      <w:r>
        <w:rPr>
          <w:rFonts w:ascii="Cambria" w:cs="Cambria" w:eastAsia="Cambria" w:hAnsi="Cambria"/>
          <w:b w:val="false"/>
          <w:bCs w:val="false"/>
          <w:color w:val="1A1A1A"/>
          <w:sz w:val="22"/>
          <w:szCs w:val="22"/>
        </w:rPr>
        <w:t xml:space="preserve">The stable placement of a psychologist co-located with the physician produces, in the pilot studies described by Solano and colleagues, four recurring effects: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a more accurate distinction between organic disease and psychosomatic disorders, with a reduction in repetitive and needlessly costly diagnostic pathways;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 significant reduction in pharmacological prescriptions issued without clear indications, particularly for hypnotics, anxiolytics, antidepressants, gastro-protective agents and anti-inflammatories;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an increase in appropriate referrals to psychotherapeutic pathways, with a decrease in chronicisation and excessive medicalisation;</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a greater capacity for the physician to manage over time the so-called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who present numerous outpatient and Emergency Department visits with poor diagnostic yield.</w:t>
      </w:r>
    </w:p>
    <w:p>
      <w:pPr>
        <w:spacing w:after="150" w:line="276"/>
        <w:jc w:val="both"/>
      </w:pPr>
      <w:r>
        <w:rPr>
          <w:rFonts w:ascii="Cambria" w:cs="Cambria" w:eastAsia="Cambria" w:hAnsi="Cambria"/>
          <w:b w:val="false"/>
          <w:bCs w:val="false"/>
          <w:color w:val="1A1A1A"/>
          <w:sz w:val="22"/>
          <w:szCs w:val="22"/>
        </w:rPr>
        <w:t xml:space="preserve">These results are consistent with the extensive international literature on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and </w:t>
      </w:r>
      <w:r>
        <w:rPr>
          <w:rFonts w:ascii="Cambria" w:cs="Cambria" w:eastAsia="Cambria" w:hAnsi="Cambria"/>
          <w:b w:val="false"/>
          <w:bCs w:val="false"/>
          <w:i/>
          <w:iCs/>
          <w:color w:val="1A1A1A"/>
          <w:sz w:val="22"/>
          <w:szCs w:val="22"/>
        </w:rPr>
        <w:t xml:space="preserve">stepped care</w:t>
      </w:r>
      <w:r>
        <w:rPr>
          <w:rFonts w:ascii="Cambria" w:cs="Cambria" w:eastAsia="Cambria" w:hAnsi="Cambria"/>
          <w:b w:val="false"/>
          <w:bCs w:val="false"/>
          <w:color w:val="1A1A1A"/>
          <w:sz w:val="22"/>
          <w:szCs w:val="22"/>
        </w:rPr>
        <w:t xml:space="preserve"> for depression, anxiety and somatoform disorders in primary care: randomised controlled trials show reductions of 20–40% in days of absence from work, a higher probability of return to work within 6–12 months, reduced use of unnecessary specialist visits, and a reduction in the use of inappropriate medications or excessive dosages.</w:t>
      </w:r>
    </w:p>
    <w:p>
      <w:pPr>
        <w:spacing w:after="150" w:line="276"/>
        <w:jc w:val="both"/>
      </w:pPr>
      <w:r>
        <w:rPr>
          <w:rFonts w:ascii="Cambria" w:cs="Cambria" w:eastAsia="Cambria" w:hAnsi="Cambria"/>
          <w:b w:val="false"/>
          <w:bCs w:val="false"/>
          <w:color w:val="1A1A1A"/>
          <w:sz w:val="22"/>
          <w:szCs w:val="22"/>
        </w:rPr>
        <w:t xml:space="preserve">In population terms,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at steady state, has been designed to offer at least one annual contact to approximately 5% of the resident population (approximately 195,000 people), with the possibility of follow-up for the most complex cases. This </w:t>
      </w:r>
      <w:r>
        <w:rPr>
          <w:rFonts w:ascii="Cambria" w:cs="Cambria" w:eastAsia="Cambria" w:hAnsi="Cambria"/>
          <w:b w:val="false"/>
          <w:bCs w:val="false"/>
          <w:i/>
          <w:iCs/>
          <w:color w:val="1A1A1A"/>
          <w:sz w:val="22"/>
          <w:szCs w:val="22"/>
        </w:rPr>
        <w:t xml:space="preserve">caseload</w:t>
      </w:r>
      <w:r>
        <w:rPr>
          <w:rFonts w:ascii="Cambria" w:cs="Cambria" w:eastAsia="Cambria" w:hAnsi="Cambria"/>
          <w:b w:val="false"/>
          <w:bCs w:val="false"/>
          <w:color w:val="1A1A1A"/>
          <w:sz w:val="22"/>
          <w:szCs w:val="22"/>
        </w:rPr>
        <w:t xml:space="preserve"> corresponds to approximately one third of the Apulian population that, according to European epidemiological data, presents a form of common mental disorder or clinically significant psychological distress each year.</w:t>
      </w:r>
    </w:p>
    <w:p>
      <w:pPr>
        <w:keepNext/>
        <w:spacing w:after="120" w:before="300" w:line="264"/>
        <w:outlineLvl w:val="1"/>
      </w:pPr>
      <w:r>
        <w:rPr>
          <w:rFonts w:ascii="Calibri" w:cs="Calibri" w:eastAsia="Calibri" w:hAnsi="Calibri"/>
          <w:b/>
          <w:bCs/>
          <w:color w:val="16264B"/>
          <w:sz w:val="30"/>
          <w:szCs w:val="30"/>
        </w:rPr>
        <w:t xml:space="preserve">6.4. Recalculation of indirect savings: conceptual structure</w:t>
      </w:r>
    </w:p>
    <w:p>
      <w:pPr>
        <w:spacing w:after="150" w:line="276"/>
        <w:jc w:val="both"/>
      </w:pPr>
      <w:r>
        <w:rPr>
          <w:rFonts w:ascii="Cambria" w:cs="Cambria" w:eastAsia="Cambria" w:hAnsi="Cambria"/>
          <w:b w:val="false"/>
          <w:bCs w:val="false"/>
          <w:color w:val="1A1A1A"/>
          <w:sz w:val="22"/>
          <w:szCs w:val="22"/>
        </w:rPr>
        <w:t xml:space="preserve">In light of the new cost picture and the outcome evidence, indirect savings are organised into 5 main components: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reduction in lost-productivity costs (absenteeism, presenteeism, turnover, withdrawal from employment) for workers treated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 reduction in new civil disability awards and early retirements with a primary or secondary diagnosis of mental disorder;</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 reduction in care-related costs borne by families (time spent on care, lost caregiving income, out-of-pocket assistance expenses);</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a reduction in overall expenditure on specialist mental health services (Mental Health Centres, psychiatric wards, day hospitals, residential care), thanks to the filtering effect exercised by primary care psychologists on cases at risk of chronicisation and on relapses;</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a reduction in private out-of-pocket expenditure on unreimbursed psychiatric and psychological visits, often fragmented and poorly coordinated, with a consequent decrease in illness-related impoverishment.</w:t>
      </w:r>
    </w:p>
    <w:p>
      <w:pPr>
        <w:spacing w:after="150" w:line="276"/>
        <w:jc w:val="both"/>
      </w:pPr>
      <w:r>
        <w:rPr>
          <w:rFonts w:ascii="Cambria" w:cs="Cambria" w:eastAsia="Cambria" w:hAnsi="Cambria"/>
          <w:b w:val="false"/>
          <w:bCs w:val="false"/>
          <w:color w:val="1A1A1A"/>
          <w:sz w:val="22"/>
          <w:szCs w:val="22"/>
        </w:rPr>
        <w:t xml:space="preserve">These 5 components are first estimated separately, and then integrated into an overall scenario over time horizons of 1, 3, 5 and 10 years, taking into account regional demographic dynamics (ageing, depopulation and net migration).</w:t>
      </w:r>
    </w:p>
    <w:p>
      <w:pPr>
        <w:keepNext/>
        <w:spacing w:after="120" w:before="300" w:line="264"/>
        <w:outlineLvl w:val="1"/>
      </w:pPr>
      <w:r>
        <w:rPr>
          <w:rFonts w:ascii="Calibri" w:cs="Calibri" w:eastAsia="Calibri" w:hAnsi="Calibri"/>
          <w:b/>
          <w:bCs/>
          <w:color w:val="16264B"/>
          <w:sz w:val="30"/>
          <w:szCs w:val="30"/>
        </w:rPr>
        <w:t xml:space="preserve">6.5. Productivity and employment: a new quantification</w:t>
      </w:r>
    </w:p>
    <w:p>
      <w:pPr>
        <w:spacing w:after="150" w:line="276"/>
        <w:jc w:val="both"/>
      </w:pPr>
      <w:r>
        <w:rPr>
          <w:rFonts w:ascii="Cambria" w:cs="Cambria" w:eastAsia="Cambria" w:hAnsi="Cambria"/>
          <w:b w:val="false"/>
          <w:bCs w:val="false"/>
          <w:color w:val="1A1A1A"/>
          <w:sz w:val="22"/>
          <w:szCs w:val="22"/>
        </w:rPr>
        <w:t xml:space="preserve">At the national level, lost productivity attributable to mental disorders alone (mainly depression and anxiety disorders) has been estimated at approximately €63 billion per year. Applying to the Apulian context a share proportional to the weight of regional GDP (approximately 3.8% of the total) yields an order of magnitude of approximately €2.4 billion per year of productivity lost to mental health in Apulia alone.</w:t>
      </w:r>
    </w:p>
    <w:p>
      <w:pPr>
        <w:spacing w:after="150" w:line="276"/>
        <w:jc w:val="both"/>
      </w:pPr>
      <w:r>
        <w:rPr>
          <w:rFonts w:ascii="Cambria" w:cs="Cambria" w:eastAsia="Cambria" w:hAnsi="Cambria"/>
          <w:b w:val="false"/>
          <w:bCs w:val="false"/>
          <w:color w:val="1A1A1A"/>
          <w:sz w:val="22"/>
          <w:szCs w:val="22"/>
        </w:rPr>
        <w:t xml:space="preserve">Not all of this share can be influenced by an intervention centred on primary care, but a very substantial part is precisely associated with common mental disorders and psychosomatic disorders treatable through brief psychological pathways, as documented by collaborative-care trials. Considering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approximately 60% of the productivity cost is attributable to depression, anxiety and somatoform disorders;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at steady state, could intercept at least 30–40% of the individuals affected by these conditions;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international studies show reductions in days of absence from work of between 20% and 40% among workers receiving structured psychological treatment;</w:t>
      </w:r>
    </w:p>
    <w:p>
      <w:pPr>
        <w:spacing w:after="150" w:line="276"/>
        <w:jc w:val="both"/>
      </w:pPr>
      <w:r>
        <w:rPr>
          <w:rFonts w:ascii="Cambria" w:cs="Cambria" w:eastAsia="Cambria" w:hAnsi="Cambria"/>
          <w:b w:val="false"/>
          <w:bCs w:val="false"/>
          <w:color w:val="1A1A1A"/>
          <w:sz w:val="22"/>
          <w:szCs w:val="22"/>
        </w:rPr>
        <w:t xml:space="preserve">it is prudent to estimate, for the productivity component alone, an overall cost reduction of between 10% and 15% at steady state, corresponding to approximately €240–360 million per year of productivity recovered in the Region.</w:t>
      </w:r>
    </w:p>
    <w:p>
      <w:pPr>
        <w:spacing w:after="150" w:line="276"/>
        <w:jc w:val="both"/>
      </w:pPr>
      <w:r>
        <w:rPr>
          <w:rFonts w:ascii="Cambria" w:cs="Cambria" w:eastAsia="Cambria" w:hAnsi="Cambria"/>
          <w:b w:val="false"/>
          <w:bCs w:val="false"/>
          <w:color w:val="1A1A1A"/>
          <w:sz w:val="22"/>
          <w:szCs w:val="22"/>
        </w:rPr>
        <w:t xml:space="preserve">Applying a gradual learning curve, consistent with what has been observed in programmes such as IAPT in the United Kingdom, the time path of productivity savings can be described as follows: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1-year scenario: the system is still in the start-up phase; a productivity recovery equal to 3–4% of total costs can be estimated, i.e. approximately €70–100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3-year scenario: the service has reached coverage of around 60% of planned capacity and GPs have internalised the new model; productivity savings rise to 7–9% of costs, equal to approximately €170–220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5-year scenario: coverage approaches 90–100% of targets, and the organisational culture has been durably transformed; productivity savings fall within the range of 10–13%, i.e. €240–310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10-year scenario: the service is fully integrated within the primary care system and has consolidated its capacity to prevent chronicisation and early withdrawal from employment; a productivity saving equal to 12–15% of costs, i.e. €290–360 million per year, can reasonably be estimated.</w:t>
      </w:r>
    </w:p>
    <w:p>
      <w:pPr>
        <w:spacing w:after="150" w:line="276"/>
        <w:jc w:val="both"/>
      </w:pPr>
      <w:r>
        <w:rPr>
          <w:rFonts w:ascii="Cambria" w:cs="Cambria" w:eastAsia="Cambria" w:hAnsi="Cambria"/>
          <w:b w:val="false"/>
          <w:bCs w:val="false"/>
          <w:color w:val="1A1A1A"/>
          <w:sz w:val="22"/>
          <w:szCs w:val="22"/>
        </w:rPr>
        <w:t xml:space="preserve">These estimates are consistent with the experience of Northern European countries, where structured </w:t>
      </w:r>
      <w:r>
        <w:rPr>
          <w:rFonts w:ascii="Cambria" w:cs="Cambria" w:eastAsia="Cambria" w:hAnsi="Cambria"/>
          <w:b w:val="false"/>
          <w:bCs w:val="false"/>
          <w:i/>
          <w:iCs/>
          <w:color w:val="1A1A1A"/>
          <w:sz w:val="22"/>
          <w:szCs w:val="22"/>
        </w:rPr>
        <w:t xml:space="preserve">mental health in primary care</w:t>
      </w:r>
      <w:r>
        <w:rPr>
          <w:rFonts w:ascii="Cambria" w:cs="Cambria" w:eastAsia="Cambria" w:hAnsi="Cambria"/>
          <w:b w:val="false"/>
          <w:bCs w:val="false"/>
          <w:color w:val="1A1A1A"/>
          <w:sz w:val="22"/>
          <w:szCs w:val="22"/>
        </w:rPr>
        <w:t xml:space="preserve"> programmes have tangibly reduced both long-term absenteeism and the incidence of new cases of work disability linked to mental disorders.</w:t>
      </w:r>
    </w:p>
    <w:p>
      <w:pPr>
        <w:keepNext/>
        <w:spacing w:after="120" w:before="300" w:line="264"/>
        <w:outlineLvl w:val="1"/>
      </w:pPr>
      <w:r>
        <w:rPr>
          <w:rFonts w:ascii="Calibri" w:cs="Calibri" w:eastAsia="Calibri" w:hAnsi="Calibri"/>
          <w:b/>
          <w:bCs/>
          <w:color w:val="16264B"/>
          <w:sz w:val="30"/>
          <w:szCs w:val="30"/>
        </w:rPr>
        <w:t xml:space="preserve">6.6. Disability, early retirement and the role of the Mental Health Centres</w:t>
      </w:r>
    </w:p>
    <w:p>
      <w:pPr>
        <w:spacing w:after="150" w:line="276"/>
        <w:jc w:val="both"/>
      </w:pPr>
      <w:r>
        <w:rPr>
          <w:rFonts w:ascii="Cambria" w:cs="Cambria" w:eastAsia="Cambria" w:hAnsi="Cambria"/>
          <w:b w:val="false"/>
          <w:bCs w:val="false"/>
          <w:color w:val="1A1A1A"/>
          <w:sz w:val="22"/>
          <w:szCs w:val="22"/>
        </w:rPr>
        <w:t xml:space="preserve">INPS data show that, nationally, psychic and behavioural disorders represent a growing share of new pensions and civil disability benefits, with an estimated annual cost that amply exceeds €2 billion. The share attributable to the Apulian population, taking into account the weight of GDP and the greater socioeconomic vulnerability of Southern Italy, can reasonably be placed within a range of €90–120 million per year for disability and early retirement with a primary or associated psychiatric diagnosis.</w:t>
      </w:r>
    </w:p>
    <w:p>
      <w:pPr>
        <w:spacing w:after="150" w:line="276"/>
        <w:jc w:val="both"/>
      </w:pPr>
      <w:r>
        <w:rPr>
          <w:rFonts w:ascii="Cambria" w:cs="Cambria" w:eastAsia="Cambria" w:hAnsi="Cambria"/>
          <w:b w:val="false"/>
          <w:bCs w:val="false"/>
          <w:color w:val="1A1A1A"/>
          <w:sz w:val="22"/>
          <w:szCs w:val="22"/>
        </w:rPr>
        <w:t xml:space="preserve">In this area the contribution of the Primary Care Psychologist operates through three closely interdependent mechanisms: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preventing the chronicisation of depressive, anxiety and somatoform disorders, reducing the probability that an acute episode develops into a chronic, disabling disorder;</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improving integrated care in collaboration with the Mental Health Centres for patients who already present a history of prolonged psychic suffering, reducing relapses and repeated hospitalisations;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easing pressure on specialist services, allowing the Mental Health Centres to concentrate resources on severe and persistent disorders and reducing the need to resort to prolonged residential care.</w:t>
      </w:r>
    </w:p>
    <w:p>
      <w:pPr>
        <w:spacing w:after="150" w:line="276"/>
        <w:jc w:val="both"/>
      </w:pPr>
      <w:r>
        <w:rPr>
          <w:rFonts w:ascii="Cambria" w:cs="Cambria" w:eastAsia="Cambria" w:hAnsi="Cambria"/>
          <w:b w:val="false"/>
          <w:bCs w:val="false"/>
          <w:color w:val="1A1A1A"/>
          <w:sz w:val="22"/>
          <w:szCs w:val="22"/>
        </w:rPr>
        <w:t xml:space="preserve">The experiences described by Solano and the international literature on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models indicate that early intervention in primary care can reduce by 20–30% the probability that a common mental disorder develops into chronic forms with a lasting loss of work capacity. Transposing these data to Apulia, the following conservative estimates can be formulated: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3 years after the service's launch, a 5–7% reduction in new disability awards for mental disorders, corresponding to an annual saving of approximately €5–8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at 5 years, a 10–12% reduction in new awards and in relapses leading to worsening degrees of disability, corresponding to annual savings of €10–15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at 10 years, a consolidated reduction of around 15–20%, with annual savings of €15–24 million.</w:t>
      </w:r>
    </w:p>
    <w:p>
      <w:pPr>
        <w:spacing w:after="150" w:line="276"/>
        <w:jc w:val="both"/>
      </w:pPr>
      <w:r>
        <w:rPr>
          <w:rFonts w:ascii="Cambria" w:cs="Cambria" w:eastAsia="Cambria" w:hAnsi="Cambria"/>
          <w:b w:val="false"/>
          <w:bCs w:val="false"/>
          <w:color w:val="1A1A1A"/>
          <w:sz w:val="22"/>
          <w:szCs w:val="22"/>
        </w:rPr>
        <w:t xml:space="preserve">To these direct savings on disability and retirement must be added savings within the territorial and hospital mental health services system. In Apulia, health expenditure formally attributed to the Departments of Mental Health and the Mental Health Centres can be estimated, on the basis of available national and regional data, at approximately €250–300 million per year. If the introduction of the Primary Care Psychologist allows a reduction of even just 5–8% in avoidable psychiatric admissions, in day hospitalisations that are not strictly necessary, and in long-duration care for originally mild or moderate disorders, the direct saving for the Regional Health Service falls in the order of €12–24 million per year at steady state.</w:t>
      </w:r>
    </w:p>
    <w:p>
      <w:pPr>
        <w:spacing w:after="150" w:line="276"/>
        <w:jc w:val="both"/>
      </w:pPr>
      <w:r>
        <w:rPr>
          <w:rFonts w:ascii="Cambria" w:cs="Cambria" w:eastAsia="Cambria" w:hAnsi="Cambria"/>
          <w:b w:val="false"/>
          <w:bCs w:val="false"/>
          <w:color w:val="1A1A1A"/>
          <w:sz w:val="22"/>
          <w:szCs w:val="22"/>
        </w:rPr>
        <w:t xml:space="preserve">Part of this saving will not translate into lower outlays but into a requalification of spending (for example, fewer days of hospitalisation and more home-based or community interventions), but it should nonetheless be considered as economic value generated by the new organisational model.</w:t>
      </w:r>
    </w:p>
    <w:p>
      <w:pPr>
        <w:keepNext/>
        <w:spacing w:after="120" w:before="300" w:line="264"/>
        <w:outlineLvl w:val="1"/>
      </w:pPr>
      <w:r>
        <w:rPr>
          <w:rFonts w:ascii="Calibri" w:cs="Calibri" w:eastAsia="Calibri" w:hAnsi="Calibri"/>
          <w:b/>
          <w:bCs/>
          <w:color w:val="16264B"/>
          <w:sz w:val="30"/>
          <w:szCs w:val="30"/>
        </w:rPr>
        <w:t xml:space="preserve">6.7. Families, caregiving and private expenditure</w:t>
      </w:r>
    </w:p>
    <w:p>
      <w:pPr>
        <w:spacing w:after="150" w:line="276"/>
        <w:jc w:val="both"/>
      </w:pPr>
      <w:r>
        <w:rPr>
          <w:rFonts w:ascii="Cambria" w:cs="Cambria" w:eastAsia="Cambria" w:hAnsi="Cambria"/>
          <w:b w:val="false"/>
          <w:bCs w:val="false"/>
          <w:color w:val="1A1A1A"/>
          <w:sz w:val="22"/>
          <w:szCs w:val="22"/>
        </w:rPr>
        <w:t xml:space="preserve">Common mental disorders impose a significant burden on families, both in terms of time devoted to caring for the affected family member, in terms of lost income (reduced working hours, forgone employment opportunities), and, finally, in terms of direct expenses for private visits, paid psychotherapy, unreimbursed medications, and travel and logistics.</w:t>
      </w:r>
    </w:p>
    <w:p>
      <w:pPr>
        <w:spacing w:after="150" w:line="276"/>
        <w:jc w:val="both"/>
      </w:pPr>
      <w:r>
        <w:rPr>
          <w:rFonts w:ascii="Cambria" w:cs="Cambria" w:eastAsia="Cambria" w:hAnsi="Cambria"/>
          <w:b w:val="false"/>
          <w:bCs w:val="false"/>
          <w:color w:val="1A1A1A"/>
          <w:sz w:val="22"/>
          <w:szCs w:val="22"/>
        </w:rPr>
        <w:t xml:space="preserve">European surveys on the costs of mental health estimate that family costs and private expenditure represent between 15% and 25% of the total. Applying this range to the Apulian context — with an overall cost of €3.3–3.7 billion per year — yields a range of €0.5–0.9 billion per year of costs borne directly by families.</w:t>
      </w:r>
    </w:p>
    <w:p>
      <w:pPr>
        <w:spacing w:after="150" w:line="276"/>
        <w:jc w:val="both"/>
      </w:pPr>
      <w:r>
        <w:rPr>
          <w:rFonts w:ascii="Cambria" w:cs="Cambria" w:eastAsia="Cambria" w:hAnsi="Cambria"/>
          <w:b w:val="false"/>
          <w:bCs w:val="false"/>
          <w:color w:val="1A1A1A"/>
          <w:sz w:val="22"/>
          <w:szCs w:val="22"/>
        </w:rPr>
        <w:t xml:space="preserve">The introduction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free at the point of access and integrated with GPs, can affect this component in at least three ways: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by reducing the number of paid psychological and psychiatric sessions needed to achieve effective treatment, thanks to the availability of a timely and accessible public offer;</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by decreasing the overall duration of episodes of illness and the probability of relapse, and therefore the time during which the family member requires intensive support;</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by reducing the need for frequent travel to specialist services located far from home, particularly in inland and rural areas.</w:t>
      </w:r>
    </w:p>
    <w:p>
      <w:pPr>
        <w:spacing w:after="150" w:line="276"/>
        <w:jc w:val="both"/>
      </w:pPr>
      <w:r>
        <w:rPr>
          <w:rFonts w:ascii="Cambria" w:cs="Cambria" w:eastAsia="Cambria" w:hAnsi="Cambria"/>
          <w:b w:val="false"/>
          <w:bCs w:val="false"/>
          <w:color w:val="1A1A1A"/>
          <w:sz w:val="22"/>
          <w:szCs w:val="22"/>
        </w:rPr>
        <w:t xml:space="preserve">On the basis of data from European best practice and national programmes such as IAPT, it is realistic to hypothesise that a well-functioning primary care psychology service can reduce average private expenditure on common mental disorders by 15–25% among families taken into care. Taking into account the planned coverage (at least 195,000 users per year) and the regional distribution of private expenditure, this translates into annual savings for Apulian families of between €70 and 120 million at steady state.</w:t>
      </w:r>
    </w:p>
    <w:p>
      <w:pPr>
        <w:spacing w:after="150" w:line="276"/>
        <w:jc w:val="both"/>
      </w:pPr>
      <w:r>
        <w:rPr>
          <w:rFonts w:ascii="Cambria" w:cs="Cambria" w:eastAsia="Cambria" w:hAnsi="Cambria"/>
          <w:b w:val="false"/>
          <w:bCs w:val="false"/>
          <w:color w:val="1A1A1A"/>
          <w:sz w:val="22"/>
          <w:szCs w:val="22"/>
        </w:rPr>
        <w:t xml:space="preserve">These savings do not appear in public health budgets but have a significant macroeconomic impact, because they free up resources that can be devoted to other forms of consumption, reduce illness-related impoverishment, and lessen the risk of household indebtedness.</w:t>
      </w:r>
    </w:p>
    <w:p>
      <w:pPr>
        <w:keepNext/>
        <w:spacing w:after="120" w:before="300" w:line="264"/>
        <w:outlineLvl w:val="1"/>
      </w:pPr>
      <w:r>
        <w:rPr>
          <w:rFonts w:ascii="Calibri" w:cs="Calibri" w:eastAsia="Calibri" w:hAnsi="Calibri"/>
          <w:b/>
          <w:bCs/>
          <w:color w:val="16264B"/>
          <w:sz w:val="30"/>
          <w:szCs w:val="30"/>
        </w:rPr>
        <w:t xml:space="preserve">6.8. Summary of indirect savings and time-horizon scenarios at 1–3–5–10 years</w:t>
      </w:r>
    </w:p>
    <w:p>
      <w:pPr>
        <w:spacing w:after="150" w:line="276"/>
        <w:jc w:val="both"/>
      </w:pPr>
      <w:r>
        <w:rPr>
          <w:rFonts w:ascii="Cambria" w:cs="Cambria" w:eastAsia="Cambria" w:hAnsi="Cambria"/>
          <w:b w:val="false"/>
          <w:bCs w:val="false"/>
          <w:color w:val="1A1A1A"/>
          <w:sz w:val="22"/>
          <w:szCs w:val="22"/>
        </w:rPr>
        <w:t xml:space="preserve">Integrating the components considered — productivity, disability and retirement, mental health service expenditure, family costs and private expenditure — it is possible to construct an overall estimate of the indirect savings generated by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over different time horizons.</w:t>
      </w:r>
    </w:p>
    <w:p>
      <w:pPr>
        <w:keepNext/>
        <w:spacing w:after="80" w:before="220" w:line="260"/>
        <w:outlineLvl w:val="2"/>
      </w:pPr>
      <w:r>
        <w:rPr>
          <w:rFonts w:ascii="Calibri" w:cs="Calibri" w:eastAsia="Calibri" w:hAnsi="Calibri"/>
          <w:b/>
          <w:bCs/>
          <w:color w:val="2E4272"/>
          <w:sz w:val="26"/>
          <w:szCs w:val="26"/>
        </w:rPr>
        <w:t xml:space="preserve">Scenario at 1 year</w:t>
      </w:r>
    </w:p>
    <w:p>
      <w:pPr>
        <w:spacing w:after="150" w:line="276"/>
        <w:jc w:val="both"/>
      </w:pPr>
      <w:r>
        <w:rPr>
          <w:rFonts w:ascii="Cambria" w:cs="Cambria" w:eastAsia="Cambria" w:hAnsi="Cambria"/>
          <w:b w:val="false"/>
          <w:bCs w:val="false"/>
          <w:color w:val="1A1A1A"/>
          <w:sz w:val="22"/>
          <w:szCs w:val="22"/>
        </w:rPr>
        <w:t xml:space="preserve">In the first year the system is in the start-up phase, coverage is still partial, and the organisational model requires a period of adjustment. Indirect savings are therefore limited but nonetheless significant: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productivity recovery: €70–100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initial reduction in family and private expenditure: €15–25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still modest effects on disability and specialist services: €3–5 million.</w:t>
      </w:r>
    </w:p>
    <w:p>
      <w:pPr>
        <w:spacing w:after="150" w:line="276"/>
        <w:jc w:val="both"/>
      </w:pPr>
      <w:r>
        <w:rPr>
          <w:rFonts w:ascii="Cambria" w:cs="Cambria" w:eastAsia="Cambria" w:hAnsi="Cambria"/>
          <w:b w:val="false"/>
          <w:bCs w:val="false"/>
          <w:color w:val="1A1A1A"/>
          <w:sz w:val="22"/>
          <w:szCs w:val="22"/>
        </w:rPr>
        <w:t xml:space="preserve">Overall indirect savings can be estimated within a range of €90–130 million in the first year, against a programme cost that lies in the upper part of the range (owing to start-up costs): the benefit-cost ratio for indirect savings alone is already between 2.0 and 3.0.</w:t>
      </w:r>
    </w:p>
    <w:p>
      <w:pPr>
        <w:keepNext/>
        <w:spacing w:after="80" w:before="220" w:line="260"/>
        <w:outlineLvl w:val="2"/>
      </w:pPr>
      <w:r>
        <w:rPr>
          <w:rFonts w:ascii="Calibri" w:cs="Calibri" w:eastAsia="Calibri" w:hAnsi="Calibri"/>
          <w:b/>
          <w:bCs/>
          <w:color w:val="2E4272"/>
          <w:sz w:val="26"/>
          <w:szCs w:val="26"/>
        </w:rPr>
        <w:t xml:space="preserve">Scenario at 3 years</w:t>
      </w:r>
    </w:p>
    <w:p>
      <w:pPr>
        <w:spacing w:after="150" w:line="276"/>
        <w:jc w:val="both"/>
      </w:pPr>
      <w:r>
        <w:rPr>
          <w:rFonts w:ascii="Cambria" w:cs="Cambria" w:eastAsia="Cambria" w:hAnsi="Cambria"/>
          <w:b w:val="false"/>
          <w:bCs w:val="false"/>
          <w:color w:val="1A1A1A"/>
          <w:sz w:val="22"/>
          <w:szCs w:val="22"/>
        </w:rPr>
        <w:t xml:space="preserve">After 3 years of operation,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has reached coverage close to 60% of planned capacity, and GPs have incorporated the psychologist's presence into their daily practice. At this stage: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productivity savings grow to €170–220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for families and private expenditure reach €40–70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on disability and specialist mental health services fall between €10 and 20 million.</w:t>
      </w:r>
    </w:p>
    <w:p>
      <w:pPr>
        <w:spacing w:after="150" w:line="276"/>
        <w:jc w:val="both"/>
      </w:pPr>
      <w:r>
        <w:rPr>
          <w:rFonts w:ascii="Cambria" w:cs="Cambria" w:eastAsia="Cambria" w:hAnsi="Cambria"/>
          <w:b w:val="false"/>
          <w:bCs w:val="false"/>
          <w:color w:val="1A1A1A"/>
          <w:sz w:val="22"/>
          <w:szCs w:val="22"/>
        </w:rPr>
        <w:t xml:space="preserve">Overall, annual indirect savings after 3 years are in the order of €220–310 million. Given that the programme's annual cost has stabilised within the range of €38–42 million, the benefit-cost ratio for indirect savings alone falls between 5.3 and 8.1.</w:t>
      </w:r>
    </w:p>
    <w:p>
      <w:pPr>
        <w:keepNext/>
        <w:spacing w:after="80" w:before="220" w:line="260"/>
        <w:outlineLvl w:val="2"/>
      </w:pPr>
      <w:r>
        <w:rPr>
          <w:rFonts w:ascii="Calibri" w:cs="Calibri" w:eastAsia="Calibri" w:hAnsi="Calibri"/>
          <w:b/>
          <w:bCs/>
          <w:color w:val="2E4272"/>
          <w:sz w:val="26"/>
          <w:szCs w:val="26"/>
        </w:rPr>
        <w:t xml:space="preserve">Scenario at 5 years</w:t>
      </w:r>
    </w:p>
    <w:p>
      <w:pPr>
        <w:spacing w:after="150" w:line="276"/>
        <w:jc w:val="both"/>
      </w:pPr>
      <w:r>
        <w:rPr>
          <w:rFonts w:ascii="Cambria" w:cs="Cambria" w:eastAsia="Cambria" w:hAnsi="Cambria"/>
          <w:b w:val="false"/>
          <w:bCs w:val="false"/>
          <w:color w:val="1A1A1A"/>
          <w:sz w:val="22"/>
          <w:szCs w:val="22"/>
        </w:rPr>
        <w:t xml:space="preserve">At 5 years the intervention is at steady state, the network of primary care psychologists is fully deployed, the information system allows structured monitoring of outcomes, and collaboration procedures with the Mental Health Centres and other territorial services have been consolidated.</w:t>
      </w:r>
    </w:p>
    <w:p>
      <w:pPr>
        <w:spacing w:after="150" w:line="276"/>
        <w:jc w:val="both"/>
      </w:pPr>
      <w:r>
        <w:rPr>
          <w:rFonts w:ascii="Cambria" w:cs="Cambria" w:eastAsia="Cambria" w:hAnsi="Cambria"/>
          <w:b w:val="false"/>
          <w:bCs w:val="false"/>
          <w:color w:val="1A1A1A"/>
          <w:sz w:val="22"/>
          <w:szCs w:val="22"/>
        </w:rPr>
        <w:t xml:space="preserve">Estimates indicate: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productivity savings: €240–310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for families and private expenditure: €70–120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on disability and specialist services: €20–35 million per year.</w:t>
      </w:r>
    </w:p>
    <w:p>
      <w:pPr>
        <w:spacing w:after="150" w:line="276"/>
        <w:jc w:val="both"/>
      </w:pPr>
      <w:r>
        <w:rPr>
          <w:rFonts w:ascii="Cambria" w:cs="Cambria" w:eastAsia="Cambria" w:hAnsi="Cambria"/>
          <w:b w:val="false"/>
          <w:bCs w:val="false"/>
          <w:color w:val="1A1A1A"/>
          <w:sz w:val="22"/>
          <w:szCs w:val="22"/>
        </w:rPr>
        <w:t xml:space="preserve">The sum of these components brings overall annual indirect savings to a range of €330–465 million. Even adopting the lower end of the range, the benefit-cost ratio based on indirect savings alone exceeds 8:1; including also the direct healthcare savings estimated in Chapter 5, the overall ratio between economic benefits and programme costs can plausibly fall within the 9–12:1 range.</w:t>
      </w:r>
    </w:p>
    <w:p>
      <w:pPr>
        <w:keepNext/>
        <w:spacing w:after="80" w:before="220" w:line="260"/>
        <w:outlineLvl w:val="2"/>
      </w:pPr>
      <w:r>
        <w:rPr>
          <w:rFonts w:ascii="Calibri" w:cs="Calibri" w:eastAsia="Calibri" w:hAnsi="Calibri"/>
          <w:b/>
          <w:bCs/>
          <w:color w:val="2E4272"/>
          <w:sz w:val="26"/>
          <w:szCs w:val="26"/>
        </w:rPr>
        <w:t xml:space="preserve">Scenario at 10 years and demographic dynamics</w:t>
      </w:r>
    </w:p>
    <w:p>
      <w:pPr>
        <w:spacing w:after="150" w:line="276"/>
        <w:jc w:val="both"/>
      </w:pPr>
      <w:r>
        <w:rPr>
          <w:rFonts w:ascii="Cambria" w:cs="Cambria" w:eastAsia="Cambria" w:hAnsi="Cambria"/>
          <w:b w:val="false"/>
          <w:bCs w:val="false"/>
          <w:color w:val="1A1A1A"/>
          <w:sz w:val="22"/>
          <w:szCs w:val="22"/>
        </w:rPr>
        <w:t xml:space="preserve">At 10 years, the Apulian health and social system will find itself operating within a changed demographic context: according to ISTAT projections, the regional population will fall from approximately 3.9 million residents in 2023 to approximately 3.76 million in 2030 and to approximately 3.5 million in 2040. This entails a reduction in the overall population but a further increase in the share of older people and of people with multiple chronic conditions.</w:t>
      </w:r>
    </w:p>
    <w:p>
      <w:pPr>
        <w:spacing w:after="150" w:line="276"/>
        <w:jc w:val="both"/>
      </w:pPr>
      <w:r>
        <w:rPr>
          <w:rFonts w:ascii="Cambria" w:cs="Cambria" w:eastAsia="Cambria" w:hAnsi="Cambria"/>
          <w:b w:val="false"/>
          <w:bCs w:val="false"/>
          <w:color w:val="1A1A1A"/>
          <w:sz w:val="22"/>
          <w:szCs w:val="22"/>
        </w:rPr>
        <w:t xml:space="preserve">In this scenario, mental disorders — particularly depression, anxiety, adjustment disorders and psychosomatic disorders — will tend to increase in frequency among older age groups, while the working-age population will shrink. The economic value of every worker who remains active and in good mental health will therefore be even greater.</w:t>
      </w:r>
    </w:p>
    <w:p>
      <w:pPr>
        <w:spacing w:after="150" w:line="276"/>
        <w:jc w:val="both"/>
      </w:pPr>
      <w:r>
        <w:rPr>
          <w:rFonts w:ascii="Cambria" w:cs="Cambria" w:eastAsia="Cambria" w:hAnsi="Cambria"/>
          <w:b w:val="false"/>
          <w:bCs w:val="false"/>
          <w:color w:val="1A1A1A"/>
          <w:sz w:val="22"/>
          <w:szCs w:val="22"/>
        </w:rPr>
        <w:t xml:space="preserve">10 years after the launch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the following steady-state values can be hypothesised: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productivity savings stabilised within the range of €290–360 million per year, notwithstanding the demographic decline, thanks to greater protection of mental health during working age;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for families and private expenditure within a range of €90–140 million per year, with a progressive reduction in illness-related impoverishment;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savings on disability and specialist services of between €25 and 40 million per year, thanks to reduced chronicisation and better use of the Mental Health Centres.</w:t>
      </w:r>
    </w:p>
    <w:p>
      <w:pPr>
        <w:spacing w:after="150" w:line="276"/>
        <w:jc w:val="both"/>
      </w:pPr>
      <w:r>
        <w:rPr>
          <w:rFonts w:ascii="Cambria" w:cs="Cambria" w:eastAsia="Cambria" w:hAnsi="Cambria"/>
          <w:b w:val="false"/>
          <w:bCs w:val="false"/>
          <w:color w:val="1A1A1A"/>
          <w:sz w:val="22"/>
          <w:szCs w:val="22"/>
        </w:rPr>
        <w:t xml:space="preserve">Overall indirect savings therefore fall within a range of €405–540 million per year at steady state, that is, between 0.53% and 0.71% of regional GDP. This means that an annual investment of approximately €40 million in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generates, over the long term, a net economic benefit that can exceed the initial cost by 10–13 times.</w:t>
      </w:r>
    </w:p>
    <w:p>
      <w:pPr>
        <w:keepNext/>
        <w:spacing w:after="120" w:before="300" w:line="264"/>
        <w:outlineLvl w:val="1"/>
      </w:pPr>
      <w:r>
        <w:rPr>
          <w:rFonts w:ascii="Calibri" w:cs="Calibri" w:eastAsia="Calibri" w:hAnsi="Calibri"/>
          <w:b/>
          <w:bCs/>
          <w:color w:val="16264B"/>
          <w:sz w:val="30"/>
          <w:szCs w:val="30"/>
        </w:rPr>
        <w:t xml:space="preserve">6.9. Multidimensional interpretation and consistency with international best practice</w:t>
      </w:r>
    </w:p>
    <w:p>
      <w:pPr>
        <w:spacing w:after="150" w:line="276"/>
        <w:jc w:val="both"/>
      </w:pPr>
      <w:r>
        <w:rPr>
          <w:rFonts w:ascii="Cambria" w:cs="Cambria" w:eastAsia="Cambria" w:hAnsi="Cambria"/>
          <w:b w:val="false"/>
          <w:bCs w:val="false"/>
          <w:color w:val="1A1A1A"/>
          <w:sz w:val="22"/>
          <w:szCs w:val="22"/>
        </w:rPr>
        <w:t xml:space="preserve">From an economic standpoint, the values reported above place Apulia squarely within the return-on-investment range observed in the leading international programmes for </w:t>
      </w:r>
      <w:r>
        <w:rPr>
          <w:rFonts w:ascii="Cambria" w:cs="Cambria" w:eastAsia="Cambria" w:hAnsi="Cambria"/>
          <w:b w:val="false"/>
          <w:bCs w:val="false"/>
          <w:i/>
          <w:iCs/>
          <w:color w:val="1A1A1A"/>
          <w:sz w:val="22"/>
          <w:szCs w:val="22"/>
        </w:rPr>
        <w:t xml:space="preserve">mental health in primary care</w:t>
      </w:r>
      <w:r>
        <w:rPr>
          <w:rFonts w:ascii="Cambria" w:cs="Cambria" w:eastAsia="Cambria" w:hAnsi="Cambria"/>
          <w:b w:val="false"/>
          <w:bCs w:val="false"/>
          <w:color w:val="1A1A1A"/>
          <w:sz w:val="22"/>
          <w:szCs w:val="22"/>
        </w:rPr>
        <w:t xml:space="preserv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National programmes that have significantly increased the share of health expenditure devoted to mental health (bringing it towards 5% of total expenditure) have documented benefit-cost ratios in the order of 4–5:1, considering both direct healthcare savings and productivity savings alone.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World Health Organization studies on depression and anxiety disorders treated with brief psychological interventions indicate a net economic return of between 2.3 and 3.0 for every euro invested, rising to 3.3–5.7 when the monetary value of QALYs gained is included.</w:t>
      </w:r>
    </w:p>
    <w:p>
      <w:pPr>
        <w:spacing w:after="150" w:line="276"/>
        <w:jc w:val="both"/>
      </w:pPr>
      <w:r>
        <w:rPr>
          <w:rFonts w:ascii="Cambria" w:cs="Cambria" w:eastAsia="Cambria" w:hAnsi="Cambria"/>
          <w:b w:val="false"/>
          <w:bCs w:val="false"/>
          <w:color w:val="1A1A1A"/>
          <w:sz w:val="22"/>
          <w:szCs w:val="22"/>
        </w:rPr>
        <w:t xml:space="preserve">The Apulian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model has certain features that could plausibly produce even more favourable returns than these benchmarks: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the high degree of integration with general practice, following the Solano model, which allows psychic and psychosomatic distress to be intercepted at an early stage, wherever it manifests;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systematic attention to somatoform disorders and psychosomatic conditions, which in many health systems remain an area of very high unproductive expenditure;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the planned use of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 tools and evidence-based protocols, which allow the intensity of the intervention to be adapted over time and clinical efficiency to be maximised;</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the possibility of using primary care psychologists as an interface also for the Mental Health Centres, filtering and rationalising referrals, reducing waiting lists for patients with severe disorders, and fostering genuinely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pathways.</w:t>
      </w:r>
    </w:p>
    <w:p>
      <w:pPr>
        <w:spacing w:after="150" w:line="276"/>
        <w:jc w:val="both"/>
      </w:pPr>
      <w:r>
        <w:rPr>
          <w:rFonts w:ascii="Cambria" w:cs="Cambria" w:eastAsia="Cambria" w:hAnsi="Cambria"/>
          <w:b w:val="false"/>
          <w:bCs w:val="false"/>
          <w:color w:val="1A1A1A"/>
          <w:sz w:val="22"/>
          <w:szCs w:val="22"/>
        </w:rPr>
        <w:t xml:space="preserve">In multidisciplinary terms,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is not merely a healthcare investment but a lever of economic, social and employment policy. By reducing prolonged absences, preventing early withdrawal from the labour market, mitigating family impoverishment and easing the burden on municipal social services, it contributes to the sustainability of the regional welfare system, to social cohesion, and to the territory's capacity to retain qualified human capital, particularly among young adults.</w:t>
      </w:r>
    </w:p>
    <w:p>
      <w:pPr>
        <w:keepNext/>
        <w:spacing w:after="120" w:before="300" w:line="264"/>
        <w:outlineLvl w:val="1"/>
      </w:pPr>
      <w:r>
        <w:rPr>
          <w:rFonts w:ascii="Calibri" w:cs="Calibri" w:eastAsia="Calibri" w:hAnsi="Calibri"/>
          <w:b/>
          <w:bCs/>
          <w:color w:val="16264B"/>
          <w:sz w:val="30"/>
          <w:szCs w:val="30"/>
        </w:rPr>
        <w:t xml:space="preserve">6.10. Operational conclusions for regional planning</w:t>
      </w:r>
    </w:p>
    <w:p>
      <w:pPr>
        <w:spacing w:after="150" w:line="276"/>
        <w:jc w:val="both"/>
      </w:pPr>
      <w:r>
        <w:rPr>
          <w:rFonts w:ascii="Cambria" w:cs="Cambria" w:eastAsia="Cambria" w:hAnsi="Cambria"/>
          <w:b w:val="false"/>
          <w:bCs w:val="false"/>
          <w:color w:val="1A1A1A"/>
          <w:sz w:val="22"/>
          <w:szCs w:val="22"/>
        </w:rPr>
        <w:t xml:space="preserve">The reformulation of indirect savings shows that the economic benefits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had previously been understated. An updated analysis, integrating evidence from Solano's studies, European best practice and international economic evaluations, indicates that: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overall costs of mental disorders in Apulia are in the order of €3.3–3.7 billion per year, equal to approximately 4–4.8% of regional GDP;</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with an annual steady-state cost of approximately €40 million, is capable of generating annual indirect savings in the order of €330–465 million at 5 years and €405–540 million at 10 years;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including the direct healthcare savings estimated in Chapter 5, the programme's overall benefit-cost ratio realistically falls within a range of 6–12:1, with financial break-even achievable between the 3rd and 5th year of implementation.</w:t>
      </w:r>
    </w:p>
    <w:p>
      <w:pPr>
        <w:spacing w:after="150" w:line="276"/>
        <w:jc w:val="both"/>
      </w:pPr>
      <w:r>
        <w:rPr>
          <w:rFonts w:ascii="Cambria" w:cs="Cambria" w:eastAsia="Cambria" w:hAnsi="Cambria"/>
          <w:b w:val="false"/>
          <w:bCs w:val="false"/>
          <w:color w:val="1A1A1A"/>
          <w:sz w:val="22"/>
          <w:szCs w:val="22"/>
        </w:rPr>
        <w:t xml:space="preserve">These results reinforce the economic solidity of the proposal and confirm that the establishment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does not represent an additional cost for the Apulian Regional Health Service, but an investment with multiple returns: for the sustainability of the health budget, for the resilience of the productive system, for the reduction of family impoverishment, and, ultimately, for the quality of regional health democracy.</w:t>
      </w:r>
    </w:p>
    <w:p>
      <w:pPr>
        <w:spacing w:after="150" w:line="276"/>
        <w:jc w:val="both"/>
      </w:pPr>
      <w:r>
        <w:rPr>
          <w:rFonts w:ascii="Cambria" w:cs="Cambria" w:eastAsia="Cambria" w:hAnsi="Cambria"/>
          <w:b w:val="false"/>
          <w:bCs w:val="false"/>
          <w:color w:val="1A1A1A"/>
          <w:sz w:val="22"/>
          <w:szCs w:val="22"/>
        </w:rPr>
        <w:t xml:space="preserve">Chapter 6, in this revised version, thus provides a more robust and articulated quantitative basis for the Apulia Region's planning choices, laying the groundwork for further micro-economic analysis of individual subsystems (Mental Health Centres, Emergency Departments, territorial pharmaceuticals, municipal social services) and for possible ex-post impact evaluation studies once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is fully operational at steady state.</w:t>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CHAPTER 7 — Integrated analysis of the overall economic balance, financial sustainability and funding coverage of the Primary Care Psychology Service in Apulia</w:t>
      </w:r>
    </w:p>
    <w:p>
      <w:pPr>
        <w:keepNext/>
        <w:spacing w:after="120" w:before="300" w:line="264"/>
        <w:outlineLvl w:val="1"/>
      </w:pPr>
      <w:r>
        <w:rPr>
          <w:rFonts w:ascii="Calibri" w:cs="Calibri" w:eastAsia="Calibri" w:hAnsi="Calibri"/>
          <w:b/>
          <w:bCs/>
          <w:color w:val="16264B"/>
          <w:sz w:val="30"/>
          <w:szCs w:val="30"/>
        </w:rPr>
        <w:t xml:space="preserve">7.1. Object of the Chapter and connection with Chapters 1–6</w:t>
      </w:r>
    </w:p>
    <w:p>
      <w:pPr>
        <w:spacing w:after="150" w:line="276"/>
        <w:jc w:val="both"/>
      </w:pPr>
      <w:r>
        <w:rPr>
          <w:rFonts w:ascii="Cambria" w:cs="Cambria" w:eastAsia="Cambria" w:hAnsi="Cambria"/>
          <w:b w:val="false"/>
          <w:bCs w:val="false"/>
          <w:color w:val="1A1A1A"/>
          <w:sz w:val="22"/>
          <w:szCs w:val="22"/>
        </w:rPr>
        <w:t xml:space="preserve">This chapter serves to bring together, within a single framework, all the quantitative magnitudes reconstructed in the preceding chapters: the annual costs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(Chapter 4), the direct healthcare savings generated by early psychological intervention and by the reduction of inappropriate tests and visits, including integration with the Mental Health Centres (Chapter 5), and the indirect savings of a social, employment and social-security nature (Chapter 6).</w:t>
      </w:r>
    </w:p>
    <w:p>
      <w:pPr>
        <w:spacing w:after="150" w:line="276"/>
        <w:jc w:val="both"/>
      </w:pPr>
      <w:r>
        <w:rPr>
          <w:rFonts w:ascii="Cambria" w:cs="Cambria" w:eastAsia="Cambria" w:hAnsi="Cambria"/>
          <w:b w:val="false"/>
          <w:bCs w:val="false"/>
          <w:color w:val="1A1A1A"/>
          <w:sz w:val="22"/>
          <w:szCs w:val="22"/>
        </w:rPr>
        <w:t xml:space="preserve">The objective is threefold.</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To quantify the net economic balance for the Apulian Regional Health Service and for regional public finances, distinguishing between scenarios at 1, 3, 5 and 10 years.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To assess the programme's financial sustainability over the medium-to-long term, in light of Apulian demographic trends (ageing, depopulation, immigration) and the growing weight of mental disorders on health and social expenditure.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To compare the Apulian results with the benchmarks of European and international best practice (the IAPT, POH-GGZ,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and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models), as well as with the evidence from Solano's Italian experience in Lazio, which demonstrates how the structural integration of the psychologist into general practice allows massive reductions in unnecessary services for psychosomatic presentations and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w:t>
      </w:r>
    </w:p>
    <w:p>
      <w:pPr>
        <w:spacing w:after="150" w:line="276"/>
        <w:jc w:val="both"/>
      </w:pPr>
      <w:r>
        <w:rPr>
          <w:rFonts w:ascii="Cambria" w:cs="Cambria" w:eastAsia="Cambria" w:hAnsi="Cambria"/>
          <w:b w:val="false"/>
          <w:bCs w:val="false"/>
          <w:color w:val="1A1A1A"/>
          <w:sz w:val="22"/>
          <w:szCs w:val="22"/>
        </w:rPr>
        <w:t xml:space="preserve">The entire analysis is conducted with a prudential, multilevel approach: every estimate is presented as a range, takes reasonable demographic scenarios into account, and uses, where necessary, conversion factors that distinguish between overall theoretical benefits and the share actually “capturable” within public health budgets.</w:t>
      </w:r>
    </w:p>
    <w:p>
      <w:pPr>
        <w:keepNext/>
        <w:spacing w:after="120" w:before="300" w:line="264"/>
        <w:outlineLvl w:val="1"/>
      </w:pPr>
      <w:r>
        <w:rPr>
          <w:rFonts w:ascii="Calibri" w:cs="Calibri" w:eastAsia="Calibri" w:hAnsi="Calibri"/>
          <w:b/>
          <w:bCs/>
          <w:color w:val="16264B"/>
          <w:sz w:val="30"/>
          <w:szCs w:val="30"/>
        </w:rPr>
        <w:t xml:space="preserve">7.2. Reconstruction of the baseline parameters</w:t>
      </w:r>
    </w:p>
    <w:p>
      <w:pPr>
        <w:keepNext/>
        <w:spacing w:after="80" w:before="220" w:line="260"/>
        <w:outlineLvl w:val="2"/>
      </w:pPr>
      <w:r>
        <w:rPr>
          <w:rFonts w:ascii="Calibri" w:cs="Calibri" w:eastAsia="Calibri" w:hAnsi="Calibri"/>
          <w:b/>
          <w:bCs/>
          <w:color w:val="2E4272"/>
          <w:sz w:val="26"/>
          <w:szCs w:val="26"/>
        </w:rPr>
        <w:t xml:space="preserve">7.2.1. Annual steady-state costs of the Service</w:t>
      </w:r>
    </w:p>
    <w:p>
      <w:pPr>
        <w:spacing w:after="150" w:line="276"/>
        <w:jc w:val="both"/>
      </w:pPr>
      <w:r>
        <w:rPr>
          <w:rFonts w:ascii="Cambria" w:cs="Cambria" w:eastAsia="Cambria" w:hAnsi="Cambria"/>
          <w:b w:val="false"/>
          <w:bCs w:val="false"/>
          <w:color w:val="1A1A1A"/>
          <w:sz w:val="22"/>
          <w:szCs w:val="22"/>
        </w:rPr>
        <w:t xml:space="preserve">Chapter 4 documented that, at steady state, with 800 primary care psychologists stably placed within the Community Houses and general practices, the overall annual cost of the programme falls within a range of €37.8 to 40.6 million under the standard scenario and between €42.5 and 45.7 million under the expansive scenario with 900 psychologists. These figures include gross remuneration, social security contributions, continuing education, supervision, ROMS/EPR information systems, telepsychology, hardware, governance and quality audit.</w:t>
      </w:r>
    </w:p>
    <w:p>
      <w:pPr>
        <w:spacing w:after="150" w:line="276"/>
        <w:jc w:val="both"/>
      </w:pPr>
      <w:r>
        <w:rPr>
          <w:rFonts w:ascii="Cambria" w:cs="Cambria" w:eastAsia="Cambria" w:hAnsi="Cambria"/>
          <w:b w:val="false"/>
          <w:bCs w:val="false"/>
          <w:color w:val="1A1A1A"/>
          <w:sz w:val="22"/>
          <w:szCs w:val="22"/>
        </w:rPr>
        <w:t xml:space="preserve">The average annual cost per psychologist, inclusive of all components, stands at around €47,000–51,000, a value well below the standard cost of Northern European models (the Dutch POH-GGZ at €64,000–74,000 per year per FTE) and of British models (High Intensity Therapist, Band 7, over £56,000), confirming that the Apulian programme sits within a comparatively moderate investment bracket.</w:t>
      </w:r>
    </w:p>
    <w:p>
      <w:pPr>
        <w:spacing w:after="150" w:line="276"/>
        <w:jc w:val="both"/>
      </w:pPr>
      <w:r>
        <w:rPr>
          <w:rFonts w:ascii="Cambria" w:cs="Cambria" w:eastAsia="Cambria" w:hAnsi="Cambria"/>
          <w:b w:val="false"/>
          <w:bCs w:val="false"/>
          <w:color w:val="1A1A1A"/>
          <w:sz w:val="22"/>
          <w:szCs w:val="22"/>
        </w:rPr>
        <w:t xml:space="preserve">For the analyses in this chapter, a reference annual steady-state cost of €40 million for 800 psychologists (standard scenario) is assumed, recognising that even under the expansive scenario the order of magnitude remains substantially unchanged (approximately €43–46 million).</w:t>
      </w:r>
    </w:p>
    <w:p>
      <w:pPr>
        <w:keepNext/>
        <w:spacing w:after="80" w:before="220" w:line="260"/>
        <w:outlineLvl w:val="2"/>
      </w:pPr>
      <w:r>
        <w:rPr>
          <w:rFonts w:ascii="Calibri" w:cs="Calibri" w:eastAsia="Calibri" w:hAnsi="Calibri"/>
          <w:b/>
          <w:bCs/>
          <w:color w:val="2E4272"/>
          <w:sz w:val="26"/>
          <w:szCs w:val="26"/>
        </w:rPr>
        <w:t xml:space="preserve">7.2.2. Direct healthcare savings</w:t>
      </w:r>
    </w:p>
    <w:p>
      <w:pPr>
        <w:spacing w:after="150" w:line="276"/>
        <w:jc w:val="both"/>
      </w:pPr>
      <w:r>
        <w:rPr>
          <w:rFonts w:ascii="Cambria" w:cs="Cambria" w:eastAsia="Cambria" w:hAnsi="Cambria"/>
          <w:b w:val="false"/>
          <w:bCs w:val="false"/>
          <w:color w:val="1A1A1A"/>
          <w:sz w:val="22"/>
          <w:szCs w:val="22"/>
        </w:rPr>
        <w:t xml:space="preserve">Chapter 5 showed that the introduction of the Primary Care Psychologist allows a significant reduction in: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repeated general practice visits for functional somatic symptoms;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inappropriate specialist visits (cardiology, neurology, gastroenterology, rheumatology, etc.);</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unnecessary instrumental and laboratory diagnostic tests;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prescription and chronic use of psychotropic drugs and analgesics;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exacerbations and hospitalisations for chronic conditions with a strong psychosomatic component;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inappropriate burden on the Mental Health Centres, which today find themselves obliged to manage a significant share of common disorders and somatisation that could be effectively treated at the level of general practice.</w:t>
      </w:r>
    </w:p>
    <w:p>
      <w:pPr>
        <w:spacing w:after="150" w:line="276"/>
        <w:jc w:val="both"/>
      </w:pPr>
      <w:r>
        <w:rPr>
          <w:rFonts w:ascii="Cambria" w:cs="Cambria" w:eastAsia="Cambria" w:hAnsi="Cambria"/>
          <w:b w:val="false"/>
          <w:bCs w:val="false"/>
          <w:color w:val="1A1A1A"/>
          <w:sz w:val="22"/>
          <w:szCs w:val="22"/>
        </w:rPr>
        <w:t xml:space="preserve">On the basis of regional expenditure data for outpatient specialist care, territorial pharmaceuticals, emergency care and hospitalisations, and integrating the percentage reductions observed in Solano's Italian studies in Lazio and in European best practice (stable reductions of 25–45% in specialist visits and investigations for functional disorders following the introduction of the primary care psychologist), Chapter 5 quantified steady-state direct healthcare savings within a range of €150 to 300 million per year, with a central value of €270 million.</w:t>
      </w:r>
    </w:p>
    <w:p>
      <w:pPr>
        <w:spacing w:after="150" w:line="276"/>
        <w:jc w:val="both"/>
      </w:pPr>
      <w:r>
        <w:rPr>
          <w:rFonts w:ascii="Cambria" w:cs="Cambria" w:eastAsia="Cambria" w:hAnsi="Cambria"/>
          <w:b w:val="false"/>
          <w:bCs w:val="false"/>
          <w:color w:val="1A1A1A"/>
          <w:sz w:val="22"/>
          <w:szCs w:val="22"/>
        </w:rPr>
        <w:t xml:space="preserve">Within this range, at least €25–30 million derives specifically from the reduction in the inappropriate burden on the Mental Health Centres and from fewer admissions to psychiatric wards for decompensated crises which, in the presence of a territorial psychological filter, are intercepted and treated much earlier. This Mental-Health-Centre-related share is set to grow over time, because the presence of the primary care psychologist allows: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integrated GP-Mental-Health-Centre pathways to be built for complex cases;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chronicisation of anxious-depressive presentations to be reduced;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inappropriate access to psychiatric emergency care to be prevented.</w:t>
      </w:r>
    </w:p>
    <w:p>
      <w:pPr>
        <w:keepNext/>
        <w:spacing w:after="80" w:before="220" w:line="260"/>
        <w:outlineLvl w:val="2"/>
      </w:pPr>
      <w:r>
        <w:rPr>
          <w:rFonts w:ascii="Calibri" w:cs="Calibri" w:eastAsia="Calibri" w:hAnsi="Calibri"/>
          <w:b/>
          <w:bCs/>
          <w:color w:val="2E4272"/>
          <w:sz w:val="26"/>
          <w:szCs w:val="26"/>
        </w:rPr>
        <w:t xml:space="preserve">7.2.3. Indirect savings</w:t>
      </w:r>
    </w:p>
    <w:p>
      <w:pPr>
        <w:spacing w:after="150" w:line="276"/>
        <w:jc w:val="both"/>
      </w:pPr>
      <w:r>
        <w:rPr>
          <w:rFonts w:ascii="Cambria" w:cs="Cambria" w:eastAsia="Cambria" w:hAnsi="Cambria"/>
          <w:b w:val="false"/>
          <w:bCs w:val="false"/>
          <w:color w:val="1A1A1A"/>
          <w:sz w:val="22"/>
          <w:szCs w:val="22"/>
        </w:rPr>
        <w:t xml:space="preserve">Chapter 6 provided a systematic reconstruction of the indirect costs of mental disorders in Apulia, taking into account the international literature (WHO, OECD, The Lancet) which estimates an overall impact of at least 4–4.8% of GDP for the combination of health, social, social-security and lost-productivity costs. Applying these benchmarks to the Apulian economy and to regional prevalence data, the total annual costs of common and severe mental disorders were estimated within a range of €3.3 to 3.7 billion.</w:t>
      </w:r>
    </w:p>
    <w:p>
      <w:pPr>
        <w:spacing w:after="150" w:line="276"/>
        <w:jc w:val="both"/>
      </w:pPr>
      <w:r>
        <w:rPr>
          <w:rFonts w:ascii="Cambria" w:cs="Cambria" w:eastAsia="Cambria" w:hAnsi="Cambria"/>
          <w:b w:val="false"/>
          <w:bCs w:val="false"/>
          <w:color w:val="1A1A1A"/>
          <w:sz w:val="22"/>
          <w:szCs w:val="22"/>
        </w:rPr>
        <w:t xml:space="preserve">On the basis of the cost-effectiveness evidence from the IAPT, POH-GGZ and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programmes, as well as from American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models, Chapter 6 modelled the effect of the Apulian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on the reduction of indirect costs, considering four main components:</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reduced absenteeism and presenteeism among workers with depression, anxiety and somatoform disorders;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reduced progression towards civil and social-security disability;</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lower costs of family long-term care and informal caregiving;</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structural decongestion of the Mental Health Centres and of hospital psychiatric services.</w:t>
      </w:r>
    </w:p>
    <w:p>
      <w:pPr>
        <w:spacing w:after="150" w:line="276"/>
        <w:jc w:val="both"/>
      </w:pPr>
      <w:r>
        <w:rPr>
          <w:rFonts w:ascii="Cambria" w:cs="Cambria" w:eastAsia="Cambria" w:hAnsi="Cambria"/>
          <w:b w:val="false"/>
          <w:bCs w:val="false"/>
          <w:color w:val="1A1A1A"/>
          <w:sz w:val="22"/>
          <w:szCs w:val="22"/>
        </w:rPr>
        <w:t xml:space="preserve">The result is an estimate of steady-state indirect savings, for the Apulian economic-social system as a whole, within a range of €330 to 465 million per year at 5 years, rising to €405–540 million at 10 years, net of the effects of ageing and depopulation and taking likely immigration flows into account.</w:t>
      </w:r>
    </w:p>
    <w:p>
      <w:pPr>
        <w:spacing w:after="150" w:line="276"/>
        <w:jc w:val="both"/>
      </w:pPr>
      <w:r>
        <w:rPr>
          <w:rFonts w:ascii="Cambria" w:cs="Cambria" w:eastAsia="Cambria" w:hAnsi="Cambria"/>
          <w:b w:val="false"/>
          <w:bCs w:val="false"/>
          <w:color w:val="1A1A1A"/>
          <w:sz w:val="22"/>
          <w:szCs w:val="22"/>
        </w:rPr>
        <w:t xml:space="preserve">Of these savings, a substantial but not total fraction (in the order of 50–60%) is potentially capturable within public accounts (lower disability transfers, lower unemployment and sickness benefits, lower social-service costs, reduced pressure on the Mental Health Centres). The remainder manifests as a benefit to businesses and families.</w:t>
      </w:r>
    </w:p>
    <w:p>
      <w:pPr>
        <w:keepNext/>
        <w:spacing w:after="120" w:before="300" w:line="264"/>
        <w:outlineLvl w:val="1"/>
      </w:pPr>
      <w:r>
        <w:rPr>
          <w:rFonts w:ascii="Calibri" w:cs="Calibri" w:eastAsia="Calibri" w:hAnsi="Calibri"/>
          <w:b/>
          <w:bCs/>
          <w:color w:val="16264B"/>
          <w:sz w:val="30"/>
          <w:szCs w:val="30"/>
        </w:rPr>
        <w:t xml:space="preserve">7.3. Annual steady-state economic balance</w:t>
      </w:r>
    </w:p>
    <w:p>
      <w:pPr>
        <w:spacing w:after="150" w:line="276"/>
        <w:jc w:val="both"/>
      </w:pPr>
      <w:r>
        <w:rPr>
          <w:rFonts w:ascii="Cambria" w:cs="Cambria" w:eastAsia="Cambria" w:hAnsi="Cambria"/>
          <w:b w:val="false"/>
          <w:bCs w:val="false"/>
          <w:color w:val="1A1A1A"/>
          <w:sz w:val="22"/>
          <w:szCs w:val="22"/>
        </w:rPr>
        <w:t xml:space="preserve">With the parameters reconstructed above, it is possible to calculate the annual steady-state economic balance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for the Apulian system, distinguishing between: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overall theoretical benefits (direct + indirect);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benefits “fiscally capturable” by the Regional Health Service and the public budget;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net balance relative to operating costs.</w:t>
      </w:r>
    </w:p>
    <w:p>
      <w:pPr>
        <w:keepNext/>
        <w:spacing w:after="80" w:before="220" w:line="260"/>
        <w:outlineLvl w:val="2"/>
      </w:pPr>
      <w:r>
        <w:rPr>
          <w:rFonts w:ascii="Calibri" w:cs="Calibri" w:eastAsia="Calibri" w:hAnsi="Calibri"/>
          <w:b/>
          <w:bCs/>
          <w:color w:val="2E4272"/>
          <w:sz w:val="26"/>
          <w:szCs w:val="26"/>
        </w:rPr>
        <w:t xml:space="preserve">7.3.1. Overall theoretical benefits</w:t>
      </w:r>
    </w:p>
    <w:p>
      <w:pPr>
        <w:spacing w:after="150" w:line="276"/>
        <w:jc w:val="both"/>
      </w:pPr>
      <w:r>
        <w:rPr>
          <w:rFonts w:ascii="Cambria" w:cs="Cambria" w:eastAsia="Cambria" w:hAnsi="Cambria"/>
          <w:b w:val="false"/>
          <w:bCs w:val="false"/>
          <w:color w:val="1A1A1A"/>
          <w:sz w:val="22"/>
          <w:szCs w:val="22"/>
        </w:rPr>
        <w:t xml:space="preserve">Assuming the central value of direct savings (€270 million) and the €330–465 million range for indirect savings at 5 years, overall annual benefits fall between €600 and 735 million. In purely economic terms, against a cost of €40 million, the theoretical benefit-cost ratio would therefore fall between 15:1 and 18:1.</w:t>
      </w:r>
    </w:p>
    <w:p>
      <w:pPr>
        <w:spacing w:after="150" w:line="276"/>
        <w:jc w:val="both"/>
      </w:pPr>
      <w:r>
        <w:rPr>
          <w:rFonts w:ascii="Cambria" w:cs="Cambria" w:eastAsia="Cambria" w:hAnsi="Cambria"/>
          <w:b w:val="false"/>
          <w:bCs w:val="false"/>
          <w:color w:val="1A1A1A"/>
          <w:sz w:val="22"/>
          <w:szCs w:val="22"/>
        </w:rPr>
        <w:t xml:space="preserve">However, this is an aggregate figure that also includes benefits to private productivity and family well-being, which are not entirely monetisable within health budgets. For an assessment of financial sustainability it is more correct to consider only the share of savings that translates into lower public outlays.</w:t>
      </w:r>
    </w:p>
    <w:p>
      <w:pPr>
        <w:keepNext/>
        <w:spacing w:after="80" w:before="220" w:line="260"/>
        <w:outlineLvl w:val="2"/>
      </w:pPr>
      <w:r>
        <w:rPr>
          <w:rFonts w:ascii="Calibri" w:cs="Calibri" w:eastAsia="Calibri" w:hAnsi="Calibri"/>
          <w:b/>
          <w:bCs/>
          <w:color w:val="2E4272"/>
          <w:sz w:val="26"/>
          <w:szCs w:val="26"/>
        </w:rPr>
        <w:t xml:space="preserve">7.3.2. Fiscally capturable benefits and net balance</w:t>
      </w:r>
    </w:p>
    <w:p>
      <w:pPr>
        <w:spacing w:after="150" w:line="276"/>
        <w:jc w:val="both"/>
      </w:pPr>
      <w:r>
        <w:rPr>
          <w:rFonts w:ascii="Cambria" w:cs="Cambria" w:eastAsia="Cambria" w:hAnsi="Cambria"/>
          <w:b w:val="false"/>
          <w:bCs w:val="false"/>
          <w:color w:val="1A1A1A"/>
          <w:sz w:val="22"/>
          <w:szCs w:val="22"/>
        </w:rPr>
        <w:t xml:space="preserve">If, in line with the WHO and OECD literature, 100% of direct healthcare savings and 50% of indirect savings are considered capturable within public accounts, the following is obtained at 5 years: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direct savings of €270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“capturable” indirect savings of between €165 and 232.5 million (equal to 50% of €330–465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overall fiscally relevant benefits of between €435 and 502.5 million per year.</w:t>
      </w:r>
    </w:p>
    <w:p>
      <w:pPr>
        <w:spacing w:after="150" w:line="276"/>
        <w:jc w:val="both"/>
      </w:pPr>
      <w:r>
        <w:rPr>
          <w:rFonts w:ascii="Cambria" w:cs="Cambria" w:eastAsia="Cambria" w:hAnsi="Cambria"/>
          <w:b w:val="false"/>
          <w:bCs w:val="false"/>
          <w:color w:val="1A1A1A"/>
          <w:sz w:val="22"/>
          <w:szCs w:val="22"/>
        </w:rPr>
        <w:t xml:space="preserve">Relating these values to the annual cost of €40 million, the effective benefit-cost ratio falls between 10.9:1 and 12.6:1 — that is, every euro invested in the Primary Care Psychologist generates between €10.9 and 12.6 of lower public expenditure once the programme is fully at steady state.</w:t>
      </w:r>
    </w:p>
    <w:p>
      <w:pPr>
        <w:spacing w:after="150" w:line="276"/>
        <w:jc w:val="both"/>
      </w:pPr>
      <w:r>
        <w:rPr>
          <w:rFonts w:ascii="Cambria" w:cs="Cambria" w:eastAsia="Cambria" w:hAnsi="Cambria"/>
          <w:b w:val="false"/>
          <w:bCs w:val="false"/>
          <w:color w:val="1A1A1A"/>
          <w:sz w:val="22"/>
          <w:szCs w:val="22"/>
        </w:rPr>
        <w:t xml:space="preserve">The net annual economic balance for the public sector, at 5 years, therefore falls between €395 and 462.5 million (benefits of €435–502.5 million less €40 million of costs), with a central value of approximately €430 million in net savings.</w:t>
      </w:r>
    </w:p>
    <w:p>
      <w:pPr>
        <w:keepNext/>
        <w:spacing w:after="120" w:before="300" w:line="264"/>
        <w:outlineLvl w:val="1"/>
      </w:pPr>
      <w:r>
        <w:rPr>
          <w:rFonts w:ascii="Calibri" w:cs="Calibri" w:eastAsia="Calibri" w:hAnsi="Calibri"/>
          <w:b/>
          <w:bCs/>
          <w:color w:val="16264B"/>
          <w:sz w:val="30"/>
          <w:szCs w:val="30"/>
        </w:rPr>
        <w:t xml:space="preserve">7.4. Time-horizon scenarios at 1, 3, 5 and 10 years</w:t>
      </w:r>
    </w:p>
    <w:p>
      <w:pPr>
        <w:spacing w:after="150" w:line="276"/>
        <w:jc w:val="both"/>
      </w:pPr>
      <w:r>
        <w:rPr>
          <w:rFonts w:ascii="Cambria" w:cs="Cambria" w:eastAsia="Cambria" w:hAnsi="Cambria"/>
          <w:b w:val="false"/>
          <w:bCs w:val="false"/>
          <w:color w:val="1A1A1A"/>
          <w:sz w:val="22"/>
          <w:szCs w:val="22"/>
        </w:rPr>
        <w:t xml:space="preserve">To assess the dynamics over time and the impact of ageing, depopulation and immigration, four time horizons are considered: 1, 3, 5 and 10 years. Under each horizon, benefits grow progressively as population coverage increases, adherence to evidence-based protocols improves, synergy with the Mental Health Centres deepens, and the cumulative effect of preventing chronicisation builds up.</w:t>
      </w:r>
    </w:p>
    <w:p>
      <w:pPr>
        <w:keepNext/>
        <w:spacing w:after="80" w:before="220" w:line="260"/>
        <w:outlineLvl w:val="2"/>
      </w:pPr>
      <w:r>
        <w:rPr>
          <w:rFonts w:ascii="Calibri" w:cs="Calibri" w:eastAsia="Calibri" w:hAnsi="Calibri"/>
          <w:b/>
          <w:bCs/>
          <w:color w:val="2E4272"/>
          <w:sz w:val="26"/>
          <w:szCs w:val="26"/>
        </w:rPr>
        <w:t xml:space="preserve">7.4.1. Scenario at 1 year</w:t>
      </w:r>
    </w:p>
    <w:p>
      <w:pPr>
        <w:spacing w:after="150" w:line="276"/>
        <w:jc w:val="both"/>
      </w:pPr>
      <w:r>
        <w:rPr>
          <w:rFonts w:ascii="Cambria" w:cs="Cambria" w:eastAsia="Cambria" w:hAnsi="Cambria"/>
          <w:b w:val="false"/>
          <w:bCs w:val="false"/>
          <w:color w:val="1A1A1A"/>
          <w:sz w:val="22"/>
          <w:szCs w:val="22"/>
        </w:rPr>
        <w:t xml:space="preserve">In the first year of implementation, with coverage reaching 30–40% of the requirement and a still modest impact on established care pathways, Chapter 5 estimates direct savings of between €70 and 90 million, while Chapter 6 attributes to indirect savings a range of €90–130 million. Against an overall start-up cost of around €18–20 million, total benefits therefore fall within the range of €160–220 million.</w:t>
      </w:r>
    </w:p>
    <w:p>
      <w:pPr>
        <w:spacing w:after="150" w:line="276"/>
        <w:jc w:val="both"/>
      </w:pPr>
      <w:r>
        <w:rPr>
          <w:rFonts w:ascii="Cambria" w:cs="Cambria" w:eastAsia="Cambria" w:hAnsi="Cambria"/>
          <w:b w:val="false"/>
          <w:bCs w:val="false"/>
          <w:color w:val="1A1A1A"/>
          <w:sz w:val="22"/>
          <w:szCs w:val="22"/>
        </w:rPr>
        <w:t xml:space="preserve">Applying the 50% capturability factor to indirect savings, fiscally relevant benefits become €115–155 million, with a benefit-cost ratio of between 5.8:1 and 8.6:1 and a net balance already positive at between €95 and 135 million.</w:t>
      </w:r>
    </w:p>
    <w:p>
      <w:pPr>
        <w:spacing w:after="150" w:line="276"/>
        <w:jc w:val="both"/>
      </w:pPr>
      <w:r>
        <w:rPr>
          <w:rFonts w:ascii="Cambria" w:cs="Cambria" w:eastAsia="Cambria" w:hAnsi="Cambria"/>
          <w:b w:val="false"/>
          <w:bCs w:val="false"/>
          <w:color w:val="1A1A1A"/>
          <w:sz w:val="22"/>
          <w:szCs w:val="22"/>
        </w:rPr>
        <w:t xml:space="preserve">In other words, already in the first year the programme not only pays for itself, but generates a substantial surplus, notwithstanding incomplete coverage and the physiological learning curve.</w:t>
      </w:r>
    </w:p>
    <w:p>
      <w:pPr>
        <w:keepNext/>
        <w:spacing w:after="80" w:before="220" w:line="260"/>
        <w:outlineLvl w:val="2"/>
      </w:pPr>
      <w:r>
        <w:rPr>
          <w:rFonts w:ascii="Calibri" w:cs="Calibri" w:eastAsia="Calibri" w:hAnsi="Calibri"/>
          <w:b/>
          <w:bCs/>
          <w:color w:val="2E4272"/>
          <w:sz w:val="26"/>
          <w:szCs w:val="26"/>
        </w:rPr>
        <w:t xml:space="preserve">7.4.2. Scenario at 3 years</w:t>
      </w:r>
    </w:p>
    <w:p>
      <w:pPr>
        <w:spacing w:after="150" w:line="276"/>
        <w:jc w:val="both"/>
      </w:pPr>
      <w:r>
        <w:rPr>
          <w:rFonts w:ascii="Cambria" w:cs="Cambria" w:eastAsia="Cambria" w:hAnsi="Cambria"/>
          <w:b w:val="false"/>
          <w:bCs w:val="false"/>
          <w:color w:val="1A1A1A"/>
          <w:sz w:val="22"/>
          <w:szCs w:val="22"/>
        </w:rPr>
        <w:t xml:space="preserve">By the third year, with coverage of 60–70% and structural integration with almost all GPs and Mental Health Centres, direct savings rise to €180–210 million, while indirect savings fall between €220 and 310 million.</w:t>
      </w:r>
    </w:p>
    <w:p>
      <w:pPr>
        <w:spacing w:after="150" w:line="276"/>
        <w:jc w:val="both"/>
      </w:pPr>
      <w:r>
        <w:rPr>
          <w:rFonts w:ascii="Cambria" w:cs="Cambria" w:eastAsia="Cambria" w:hAnsi="Cambria"/>
          <w:b w:val="false"/>
          <w:bCs w:val="false"/>
          <w:color w:val="1A1A1A"/>
          <w:sz w:val="22"/>
          <w:szCs w:val="22"/>
        </w:rPr>
        <w:t xml:space="preserve">The annual cost at this intermediate stage is estimated at €30–32 million. Overall theoretical benefits fall between €400 and 520 million, while fiscally relevant benefits (direct + 50% of indirect) fall between €290 and 365 million.</w:t>
      </w:r>
    </w:p>
    <w:p>
      <w:pPr>
        <w:spacing w:after="150" w:line="276"/>
        <w:jc w:val="both"/>
      </w:pPr>
      <w:r>
        <w:rPr>
          <w:rFonts w:ascii="Cambria" w:cs="Cambria" w:eastAsia="Cambria" w:hAnsi="Cambria"/>
          <w:b w:val="false"/>
          <w:bCs w:val="false"/>
          <w:color w:val="1A1A1A"/>
          <w:sz w:val="22"/>
          <w:szCs w:val="22"/>
        </w:rPr>
        <w:t xml:space="preserve">The effective benefit-cost ratio thus ranges from 9.1:1 to 12.2:1, with a net balance for the public sector oscillating between €258 and 335 million per year.</w:t>
      </w:r>
    </w:p>
    <w:p>
      <w:pPr>
        <w:keepNext/>
        <w:spacing w:after="80" w:before="220" w:line="260"/>
        <w:outlineLvl w:val="2"/>
      </w:pPr>
      <w:r>
        <w:rPr>
          <w:rFonts w:ascii="Calibri" w:cs="Calibri" w:eastAsia="Calibri" w:hAnsi="Calibri"/>
          <w:b/>
          <w:bCs/>
          <w:color w:val="2E4272"/>
          <w:sz w:val="26"/>
          <w:szCs w:val="26"/>
        </w:rPr>
        <w:t xml:space="preserve">7.4.3. Scenario at 5 years</w:t>
      </w:r>
    </w:p>
    <w:p>
      <w:pPr>
        <w:spacing w:after="150" w:line="276"/>
        <w:jc w:val="both"/>
      </w:pPr>
      <w:r>
        <w:rPr>
          <w:rFonts w:ascii="Cambria" w:cs="Cambria" w:eastAsia="Cambria" w:hAnsi="Cambria"/>
          <w:b w:val="false"/>
          <w:bCs w:val="false"/>
          <w:color w:val="1A1A1A"/>
          <w:sz w:val="22"/>
          <w:szCs w:val="22"/>
        </w:rPr>
        <w:t xml:space="preserve">The five-year scenario corresponds to the programme's full steady state, with stable coverage, consolidated protocols, and the progressive reorganisation of pathways with the Mental Health Centres and specialist care. At this stage: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consolidated direct savings are €250–280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indirect savings are €330–465 million;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annual cost is €38–41 million.</w:t>
      </w:r>
    </w:p>
    <w:p>
      <w:pPr>
        <w:spacing w:after="150" w:line="276"/>
        <w:jc w:val="both"/>
      </w:pPr>
      <w:r>
        <w:rPr>
          <w:rFonts w:ascii="Cambria" w:cs="Cambria" w:eastAsia="Cambria" w:hAnsi="Cambria"/>
          <w:b w:val="false"/>
          <w:bCs w:val="false"/>
          <w:color w:val="1A1A1A"/>
          <w:sz w:val="22"/>
          <w:szCs w:val="22"/>
        </w:rPr>
        <w:t xml:space="preserve">Overall theoretical benefits therefore fall between €580 and 745 million; applying the capturability criterion (100% direct + 50% indirect), effective benefits for public budgets range between €435 and 502.5 million.</w:t>
      </w:r>
    </w:p>
    <w:p>
      <w:pPr>
        <w:spacing w:after="150" w:line="276"/>
        <w:jc w:val="both"/>
      </w:pPr>
      <w:r>
        <w:rPr>
          <w:rFonts w:ascii="Cambria" w:cs="Cambria" w:eastAsia="Cambria" w:hAnsi="Cambria"/>
          <w:b w:val="false"/>
          <w:bCs w:val="false"/>
          <w:color w:val="1A1A1A"/>
          <w:sz w:val="22"/>
          <w:szCs w:val="22"/>
        </w:rPr>
        <w:t xml:space="preserve">The effective benefit-cost ratio falls between 10.1:1 and 13.5:1, with an annual net balance of €395–462.5 million. Taking into account demographic uncertainties (further ageing, a slight contraction in the resident population, inward migration flows that mitigate but do not eliminate depopulation) and possible variations in the prevalence of mental disorders, this Document prudently adopts a reference range of 9–12:1 as the consolidated estimate of overall ROI.</w:t>
      </w:r>
    </w:p>
    <w:p>
      <w:pPr>
        <w:keepNext/>
        <w:spacing w:after="80" w:before="220" w:line="260"/>
        <w:outlineLvl w:val="2"/>
      </w:pPr>
      <w:r>
        <w:rPr>
          <w:rFonts w:ascii="Calibri" w:cs="Calibri" w:eastAsia="Calibri" w:hAnsi="Calibri"/>
          <w:b/>
          <w:bCs/>
          <w:color w:val="2E4272"/>
          <w:sz w:val="26"/>
          <w:szCs w:val="26"/>
        </w:rPr>
        <w:t xml:space="preserve">7.4.4. Scenario at 10 years</w:t>
      </w:r>
    </w:p>
    <w:p>
      <w:pPr>
        <w:spacing w:after="150" w:line="276"/>
        <w:jc w:val="both"/>
      </w:pPr>
      <w:r>
        <w:rPr>
          <w:rFonts w:ascii="Cambria" w:cs="Cambria" w:eastAsia="Cambria" w:hAnsi="Cambria"/>
          <w:b w:val="false"/>
          <w:bCs w:val="false"/>
          <w:color w:val="1A1A1A"/>
          <w:sz w:val="22"/>
          <w:szCs w:val="22"/>
        </w:rPr>
        <w:t xml:space="preserve">At 10 years, the scenario incorporates: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cumulative effect of preventing chronicisation;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further alignment with international best-practice benchmarks (</w:t>
      </w:r>
      <w:r>
        <w:rPr>
          <w:rFonts w:ascii="Cambria" w:cs="Cambria" w:eastAsia="Cambria" w:hAnsi="Cambria"/>
          <w:b w:val="false"/>
          <w:bCs w:val="false"/>
          <w:i/>
          <w:iCs/>
          <w:color w:val="1A1A1A"/>
          <w:sz w:val="22"/>
          <w:szCs w:val="22"/>
        </w:rPr>
        <w:t xml:space="preserve">recovery rate</w:t>
      </w:r>
      <w:r>
        <w:rPr>
          <w:rFonts w:ascii="Cambria" w:cs="Cambria" w:eastAsia="Cambria" w:hAnsi="Cambria"/>
          <w:b w:val="false"/>
          <w:bCs w:val="false"/>
          <w:color w:val="1A1A1A"/>
          <w:sz w:val="22"/>
          <w:szCs w:val="22"/>
        </w:rPr>
        <w:t xml:space="preserve">s and symptomatic remission comparable to the best IAPT and POH-GGZ cohorts);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consolidation of the reorganisation of the Mental Health Centres towards severe and complex cases.</w:t>
      </w:r>
    </w:p>
    <w:p>
      <w:pPr>
        <w:spacing w:after="150" w:line="276"/>
        <w:jc w:val="both"/>
      </w:pPr>
      <w:r>
        <w:rPr>
          <w:rFonts w:ascii="Cambria" w:cs="Cambria" w:eastAsia="Cambria" w:hAnsi="Cambria"/>
          <w:b w:val="false"/>
          <w:bCs w:val="false"/>
          <w:color w:val="1A1A1A"/>
          <w:sz w:val="22"/>
          <w:szCs w:val="22"/>
        </w:rPr>
        <w:t xml:space="preserve">From this perspective, direct savings could grow to €290–330 million, while indirect savings take on a range of €405–540 million, with the annual cost still around €40 million.</w:t>
      </w:r>
    </w:p>
    <w:p>
      <w:pPr>
        <w:spacing w:after="150" w:line="276"/>
        <w:jc w:val="both"/>
      </w:pPr>
      <w:r>
        <w:rPr>
          <w:rFonts w:ascii="Cambria" w:cs="Cambria" w:eastAsia="Cambria" w:hAnsi="Cambria"/>
          <w:b w:val="false"/>
          <w:bCs w:val="false"/>
          <w:color w:val="1A1A1A"/>
          <w:sz w:val="22"/>
          <w:szCs w:val="22"/>
        </w:rPr>
        <w:t xml:space="preserve">Annual theoretical benefits therefore reach €695–870 million; fiscally relevant benefits (direct + 50% indirect) fall between €492.5 and 600 million, with an effective benefit-cost ratio of between 12.3:1 and 15:1 and an annual net balance exceeding €450 million.</w:t>
      </w:r>
    </w:p>
    <w:p>
      <w:pPr>
        <w:keepNext/>
        <w:spacing w:after="120" w:before="300" w:line="264"/>
        <w:outlineLvl w:val="1"/>
      </w:pPr>
      <w:r>
        <w:rPr>
          <w:rFonts w:ascii="Calibri" w:cs="Calibri" w:eastAsia="Calibri" w:hAnsi="Calibri"/>
          <w:b/>
          <w:bCs/>
          <w:color w:val="16264B"/>
          <w:sz w:val="30"/>
          <w:szCs w:val="30"/>
        </w:rPr>
        <w:t xml:space="preserve">7.5. The specific contribution of integration with the Mental Health Centres</w:t>
      </w:r>
    </w:p>
    <w:p>
      <w:pPr>
        <w:spacing w:after="150" w:line="276"/>
        <w:jc w:val="both"/>
      </w:pPr>
      <w:r>
        <w:rPr>
          <w:rFonts w:ascii="Cambria" w:cs="Cambria" w:eastAsia="Cambria" w:hAnsi="Cambria"/>
          <w:b w:val="false"/>
          <w:bCs w:val="false"/>
          <w:color w:val="1A1A1A"/>
          <w:sz w:val="22"/>
          <w:szCs w:val="22"/>
        </w:rPr>
        <w:t xml:space="preserve">One of the key points raised in the preceding chapters concerns the risk of understating the contribution of the Primary Care Psychologist to the reorganisation of the specialist psychiatric area and, in particular, of the Mental Health Centres. Solano's experience in Lazio, as recalled in Chapter 5, shows that the stable integration of a psychologist within general-practice groups produces: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drastic reduction (of up to 40–50%) in requests for referral to psychiatric services for anxiety disorders, mild-to-moderate depression and somatisation;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much more appropriate selection of patients genuinely in need of specialist care;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reduction in repeated attendance at psychiatric emergency departments for crises manageable at the territorial level;</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structural easing of Mental Health Centre outpatient activity, reducing needlessly frequent check-ups for stabilised patients.</w:t>
      </w:r>
    </w:p>
    <w:p>
      <w:pPr>
        <w:spacing w:after="150" w:line="276"/>
        <w:jc w:val="both"/>
      </w:pPr>
      <w:r>
        <w:rPr>
          <w:rFonts w:ascii="Cambria" w:cs="Cambria" w:eastAsia="Cambria" w:hAnsi="Cambria"/>
          <w:b w:val="false"/>
          <w:bCs w:val="false"/>
          <w:color w:val="1A1A1A"/>
          <w:sz w:val="22"/>
          <w:szCs w:val="22"/>
        </w:rPr>
        <w:t xml:space="preserve">Transposing these dynamics to the Apulian context, and taking into account regional mental health expenditure (which, in line with national values, falls between 4 and 5% of total health expenditure), Chapter 5 estimated that the Mental-Health-Centre-related effect of the Primary Care Psychologist alone generates, at steady state, at least €25–30 million of direct savings per year, to which further indirect savings (disability, family burden, lost productivity) in the order of €20–35 million must be added.</w:t>
      </w:r>
    </w:p>
    <w:p>
      <w:pPr>
        <w:spacing w:after="150" w:line="276"/>
        <w:jc w:val="both"/>
      </w:pPr>
      <w:r>
        <w:rPr>
          <w:rFonts w:ascii="Cambria" w:cs="Cambria" w:eastAsia="Cambria" w:hAnsi="Cambria"/>
          <w:b w:val="false"/>
          <w:bCs w:val="false"/>
          <w:color w:val="1A1A1A"/>
          <w:sz w:val="22"/>
          <w:szCs w:val="22"/>
        </w:rPr>
        <w:t xml:space="preserve">In other words, between 10 and 15% of overall direct savings, and a non-marginal share of indirect savings, derive specifically from the reorganisation of the Mental Health Centres made possible by the presence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tier. Any evaluation that neglects this element inevitably tends to markedly understate the programme's overall impact.</w:t>
      </w:r>
    </w:p>
    <w:p>
      <w:pPr>
        <w:keepNext/>
        <w:spacing w:after="120" w:before="300" w:line="264"/>
        <w:outlineLvl w:val="1"/>
      </w:pPr>
      <w:r>
        <w:rPr>
          <w:rFonts w:ascii="Calibri" w:cs="Calibri" w:eastAsia="Calibri" w:hAnsi="Calibri"/>
          <w:b/>
          <w:bCs/>
          <w:color w:val="16264B"/>
          <w:sz w:val="30"/>
          <w:szCs w:val="30"/>
        </w:rPr>
        <w:t xml:space="preserve">7.6. Comparison with international benchmarks and cost-effectiveness thresholds</w:t>
      </w:r>
    </w:p>
    <w:p>
      <w:pPr>
        <w:spacing w:after="150" w:line="276"/>
        <w:jc w:val="both"/>
      </w:pPr>
      <w:r>
        <w:rPr>
          <w:rFonts w:ascii="Cambria" w:cs="Cambria" w:eastAsia="Cambria" w:hAnsi="Cambria"/>
          <w:b w:val="false"/>
          <w:bCs w:val="false"/>
          <w:color w:val="1A1A1A"/>
          <w:sz w:val="22"/>
          <w:szCs w:val="22"/>
        </w:rPr>
        <w:t xml:space="preserve">The ROI and net-balance estimates reported here cannot be read in isolation, but must be compared against three frames of reference: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the cost-effectiveness thresholds generally adopted for health interventions;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the economic results documented by primary care psychology programmes in high-income countries;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the scale of the costs of mental disorders in the Apulian population.</w:t>
      </w:r>
    </w:p>
    <w:p>
      <w:pPr>
        <w:spacing w:after="150" w:line="276"/>
        <w:jc w:val="both"/>
      </w:pPr>
      <w:r>
        <w:rPr>
          <w:rFonts w:ascii="Cambria" w:cs="Cambria" w:eastAsia="Cambria" w:hAnsi="Cambria"/>
          <w:b w:val="false"/>
          <w:bCs w:val="false"/>
          <w:color w:val="1A1A1A"/>
          <w:sz w:val="22"/>
          <w:szCs w:val="22"/>
        </w:rPr>
        <w:t xml:space="preserve">On the first point, the </w:t>
      </w:r>
      <w:r>
        <w:rPr>
          <w:rFonts w:ascii="Cambria" w:cs="Cambria" w:eastAsia="Cambria" w:hAnsi="Cambria"/>
          <w:b w:val="false"/>
          <w:bCs w:val="false"/>
          <w:i/>
          <w:iCs/>
          <w:color w:val="1A1A1A"/>
          <w:sz w:val="22"/>
          <w:szCs w:val="22"/>
        </w:rPr>
        <w:t xml:space="preserve">health technology assessment</w:t>
      </w:r>
      <w:r>
        <w:rPr>
          <w:rFonts w:ascii="Cambria" w:cs="Cambria" w:eastAsia="Cambria" w:hAnsi="Cambria"/>
          <w:b w:val="false"/>
          <w:bCs w:val="false"/>
          <w:color w:val="1A1A1A"/>
          <w:sz w:val="22"/>
          <w:szCs w:val="22"/>
        </w:rPr>
        <w:t xml:space="preserve"> literature generally uses thresholds of £20,000–30,000 per QALY (approximately €23,000–35,000/QALY) as the reference for defining an intervention as “cost-effective”. Studies of psychological interventions in primary care indicate values of €9,000–21,000/QALY, stably below these thresholds.</w:t>
      </w:r>
    </w:p>
    <w:p>
      <w:pPr>
        <w:spacing w:after="150" w:line="276"/>
        <w:jc w:val="both"/>
      </w:pPr>
      <w:r>
        <w:rPr>
          <w:rFonts w:ascii="Cambria" w:cs="Cambria" w:eastAsia="Cambria" w:hAnsi="Cambria"/>
          <w:b w:val="false"/>
          <w:bCs w:val="false"/>
          <w:color w:val="1A1A1A"/>
          <w:sz w:val="22"/>
          <w:szCs w:val="22"/>
        </w:rPr>
        <w:t xml:space="preserve">On the second point, economic analysis conducted by the WHO and the World Bank on the treatment of depression and anxiety documents an overall economic return of between 2.3:1 and 3:1, rising to 3.3–5.7:1 if the value of improved health is included, while more recent workplace-based studies show ratios even exceeding 4–5:1.</w:t>
      </w:r>
    </w:p>
    <w:p>
      <w:pPr>
        <w:spacing w:after="150" w:line="276"/>
        <w:jc w:val="both"/>
      </w:pPr>
      <w:r>
        <w:rPr>
          <w:rFonts w:ascii="Cambria" w:cs="Cambria" w:eastAsia="Cambria" w:hAnsi="Cambria"/>
          <w:b w:val="false"/>
          <w:bCs w:val="false"/>
          <w:color w:val="1A1A1A"/>
          <w:sz w:val="22"/>
          <w:szCs w:val="22"/>
        </w:rPr>
        <w:t xml:space="preserve">The fact that the Apulian programme, once fully implemented, shows public-sector benefit-cost ratios in the order of 9–12:1, even while maintaining prudential assumptions, is therefore not an anomaly, but the reflection of three specific factors: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very high starting weight of psychosomatic disorders and somatisation on specialist, diagnostic and pharmaceutical expenditure;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Italy's structural lag in the provision of territorial psychology, which creates a vast area of unmet need that a new service tier can readily intercept;</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the possibility of drawing on high-yield protocols (CBT, IAPT-like models, integrated GP-psychologist models) already tested abroad, without having to bear the initial piloting costs incurred by the pioneering countries.</w:t>
      </w:r>
    </w:p>
    <w:p>
      <w:pPr>
        <w:spacing w:after="150" w:line="276"/>
        <w:jc w:val="both"/>
      </w:pPr>
      <w:r>
        <w:rPr>
          <w:rFonts w:ascii="Cambria" w:cs="Cambria" w:eastAsia="Cambria" w:hAnsi="Cambria"/>
          <w:b w:val="false"/>
          <w:bCs w:val="false"/>
          <w:color w:val="1A1A1A"/>
          <w:sz w:val="22"/>
          <w:szCs w:val="22"/>
        </w:rPr>
        <w:t xml:space="preserve">Finally, on the third point, it should be recalled that the €3.3–3.7 billion of annual costs of mental disorders in Apulia represent an order of magnitude almost 100 times greater than the annual cost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Even a relatively modest reduction, in the order of 10–15%, therefore produces savings in the order of hundreds of millions of euros, fully consistent with the estimates reported in Chapters 5 and 6.</w:t>
      </w:r>
    </w:p>
    <w:p>
      <w:pPr>
        <w:keepNext/>
        <w:spacing w:after="120" w:before="300" w:line="264"/>
        <w:outlineLvl w:val="1"/>
      </w:pPr>
      <w:r>
        <w:rPr>
          <w:rFonts w:ascii="Calibri" w:cs="Calibri" w:eastAsia="Calibri" w:hAnsi="Calibri"/>
          <w:b/>
          <w:bCs/>
          <w:color w:val="16264B"/>
          <w:sz w:val="30"/>
          <w:szCs w:val="30"/>
        </w:rPr>
        <w:t xml:space="preserve">7.7. Sensitivity analysis and margins of safety</w:t>
      </w:r>
    </w:p>
    <w:p>
      <w:pPr>
        <w:spacing w:after="150" w:line="276"/>
        <w:jc w:val="both"/>
      </w:pPr>
      <w:r>
        <w:rPr>
          <w:rFonts w:ascii="Cambria" w:cs="Cambria" w:eastAsia="Cambria" w:hAnsi="Cambria"/>
          <w:b w:val="false"/>
          <w:bCs w:val="false"/>
          <w:color w:val="1A1A1A"/>
          <w:sz w:val="22"/>
          <w:szCs w:val="22"/>
        </w:rPr>
        <w:t xml:space="preserve">To verify the robustness of the conclusions, it is useful to ask how much conditions would have to worsen for the programme to lose its economic advantage.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Reduction in benefits: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even assuming that the Apulian reality manages to capture only a third of the modelled indirect savings (i.e. approximately €110–155 million, instead of the reference €165–232.5 million) and that direct savings fall at the low end of the range (€150–200 million), total fiscally relevant benefits would remain between €260 and 355 million per year, with a benefit-cost ratio still ≥6.5:1;</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for the benefit-cost ratio to fall below 2:1, more than 80% of indirect savings and more than half of direct savings would have to fail to materialise — an assumption incompatible with the consolidated evidence from IAPT, POH-GGZ,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and with the results of Solano's studies.</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Increase in costs: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even if, for contractual or organisational reasons, the average annual cost per psychologist were to rise by 20–30% (to €55,000–60,000), bringing the programme's overall cost to €50–55 million per year, the benefit-cost ratio at 5 years would still exceed 8–9:1, with a net balance of at least €350 million per year;</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to eliminate the net balance entirely, the programme's cost would have to be tripled or quadrupled, reaching levels incompatible with the national collective labour agreement (CCNL) and with any realistic regional expenditure scenario.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 worsening demographic picture: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further population ageing and the continuation of youth out-migration tend to increase the prevalence of depressive, anxiety and cognitive disorders, amplifying demand for psychological interventions;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the absence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these phenomena fuel the uncontrolled growth of expenditure on inappropriate care; in the presence of the service, they increase the base on which the programme can generate savings, if anything making the estimates in this chapter conservative.</w:t>
      </w:r>
    </w:p>
    <w:p>
      <w:pPr>
        <w:spacing w:after="150" w:line="276"/>
        <w:jc w:val="both"/>
      </w:pPr>
      <w:r>
        <w:rPr>
          <w:rFonts w:ascii="Cambria" w:cs="Cambria" w:eastAsia="Cambria" w:hAnsi="Cambria"/>
          <w:b w:val="false"/>
          <w:bCs w:val="false"/>
          <w:color w:val="1A1A1A"/>
          <w:sz w:val="22"/>
          <w:szCs w:val="22"/>
        </w:rPr>
        <w:t xml:space="preserve">In summary, even under strongly unfavourable scenarios the programme remains economically advantageous, with benefit-cost ratios amply exceeding unity and very high margins of safety.</w:t>
      </w:r>
    </w:p>
    <w:p>
      <w:pPr>
        <w:keepNext/>
        <w:spacing w:after="120" w:before="300" w:line="264"/>
        <w:outlineLvl w:val="1"/>
      </w:pPr>
      <w:r>
        <w:rPr>
          <w:rFonts w:ascii="Calibri" w:cs="Calibri" w:eastAsia="Calibri" w:hAnsi="Calibri"/>
          <w:b/>
          <w:bCs/>
          <w:color w:val="16264B"/>
          <w:sz w:val="30"/>
          <w:szCs w:val="30"/>
        </w:rPr>
        <w:t xml:space="preserve">7.8. Implications for regional financial sustainability and funding coverage</w:t>
      </w:r>
    </w:p>
    <w:p>
      <w:pPr>
        <w:spacing w:after="150" w:line="276"/>
        <w:jc w:val="both"/>
      </w:pPr>
      <w:r>
        <w:rPr>
          <w:rFonts w:ascii="Cambria" w:cs="Cambria" w:eastAsia="Cambria" w:hAnsi="Cambria"/>
          <w:b w:val="false"/>
          <w:bCs w:val="false"/>
          <w:color w:val="1A1A1A"/>
          <w:sz w:val="22"/>
          <w:szCs w:val="22"/>
        </w:rPr>
        <w:t xml:space="preserve">From the standpoint of the Apulia Region's budget, the programme's annual cost of approximately €40 million corresponds to less than 0.5% of total regional health expenditure, estimated at around €9 billion. Even if financed entirely from regional resources, the impact on the health balance would therefore be contained.</w:t>
      </w:r>
    </w:p>
    <w:p>
      <w:pPr>
        <w:spacing w:after="150" w:line="276"/>
        <w:jc w:val="both"/>
      </w:pPr>
      <w:r>
        <w:rPr>
          <w:rFonts w:ascii="Cambria" w:cs="Cambria" w:eastAsia="Cambria" w:hAnsi="Cambria"/>
          <w:b w:val="false"/>
          <w:bCs w:val="false"/>
          <w:color w:val="1A1A1A"/>
          <w:sz w:val="22"/>
          <w:szCs w:val="22"/>
        </w:rPr>
        <w:t xml:space="preserve">Nonetheless, in light of the documented savings, it is possible to envisage a mix of funding sources that would further reduce the initial net burden: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reinvestment of a share of the certified savings on pharmaceuticals, specialist care and hospitalisations (Chapter 5), through district-budget mechanisms and results-based programming;</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integration with national funds for mental health, prevention and the PNRR (Community Houses, telemedicine), capitalising on the structural and innovative character of the measure;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cross-sectoral agreements with the departments responsible for employment, social policy and productive activities, to share part of the indirect savings on disability, welfare and productivity;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local co-financing pilots, particularly in contexts with high industrial density or a high incidence of chronic disease, where the benefits to the productive fabric are particularly evident.</w:t>
      </w:r>
    </w:p>
    <w:p>
      <w:pPr>
        <w:spacing w:after="150" w:line="276"/>
        <w:jc w:val="both"/>
      </w:pPr>
      <w:r>
        <w:rPr>
          <w:rFonts w:ascii="Cambria" w:cs="Cambria" w:eastAsia="Cambria" w:hAnsi="Cambria"/>
          <w:b w:val="false"/>
          <w:bCs w:val="false"/>
          <w:color w:val="1A1A1A"/>
          <w:sz w:val="22"/>
          <w:szCs w:val="22"/>
        </w:rPr>
        <w:t xml:space="preserve">Looking ahead, once the programme has consolidated its results, it will be possible to structurally earmark a share of certified savings for the refinancing and possible expansion of the Service (moving from 800 to 900 psychologists, extending hours and premises, developing group interventions, and strengthening digital capabilities).</w:t>
      </w:r>
    </w:p>
    <w:p>
      <w:pPr>
        <w:keepNext/>
        <w:spacing w:after="120" w:before="300" w:line="264"/>
        <w:outlineLvl w:val="1"/>
      </w:pPr>
      <w:r>
        <w:rPr>
          <w:rFonts w:ascii="Calibri" w:cs="Calibri" w:eastAsia="Calibri" w:hAnsi="Calibri"/>
          <w:b/>
          <w:bCs/>
          <w:color w:val="16264B"/>
          <w:sz w:val="30"/>
          <w:szCs w:val="30"/>
        </w:rPr>
        <w:t xml:space="preserve">7.9. Conclusions of Chapter 7</w:t>
      </w:r>
    </w:p>
    <w:p>
      <w:pPr>
        <w:spacing w:after="150" w:line="276"/>
        <w:jc w:val="both"/>
      </w:pPr>
      <w:r>
        <w:rPr>
          <w:rFonts w:ascii="Cambria" w:cs="Cambria" w:eastAsia="Cambria" w:hAnsi="Cambria"/>
          <w:b w:val="false"/>
          <w:bCs w:val="false"/>
          <w:color w:val="1A1A1A"/>
          <w:sz w:val="22"/>
          <w:szCs w:val="22"/>
        </w:rPr>
        <w:t xml:space="preserve">The work carried out in Chapters 4, 5 and 6, and brought together in this Chapter 7, allows several robust and consistent conclusions to be drawn:</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The annual cost of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the order of €40 million, is contained relative to overall Apulian health expenditure and far lower than that of Northern European models for an equivalent population covered.</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Direct healthcare savings generated by early intervention on common mental disorders and somatisation, including the reorganisation of the Mental Health Centres, are estimated at steady state at €150–300 million per year, with a central value of €270 million.</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Indirect savings (productivity, disability, welfare, family burden) are estimated at 5 years at €330–465 million per year, rising to €405–540 million at 10 years, on the basis of WHO/OECD evidence and international best practice.</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Considering only the share of benefits actually capturable within public budgets (100% of direct + 50% of indirect), the benefit-cost ratio at 5 years falls between 10.9:1 and 12.6:1, with a net balance of €395–462.5 million per year; at 10 years the ratio rises above 12:1, with a net balance exceeding €450 million.</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Sensitivity analyses show that, even under strongly pessimistic scenarios (benefits reduced to one third, costs increased by 30%), the programme maintains benefit-cost ratios amply above 2–3:1 and a positive net balance in the order of hundreds of millions.</w:t>
      </w:r>
    </w:p>
    <w:p>
      <w:pPr>
        <w:tabs>
          <w:tab w:val="left" w:pos="600"/>
        </w:tabs>
        <w:spacing w:after="90" w:line="272"/>
        <w:ind w:left="600" w:hanging="300"/>
        <w:jc w:val="both"/>
      </w:pPr>
      <w:r>
        <w:rPr>
          <w:rFonts w:ascii="Cambria" w:cs="Cambria" w:eastAsia="Cambria" w:hAnsi="Cambria"/>
          <w:b/>
          <w:bCs/>
          <w:color w:val="1A1A1A"/>
          <w:sz w:val="22"/>
          <w:szCs w:val="22"/>
        </w:rPr>
        <w:t xml:space="preserve">6.</w:t>
        <w:tab/>
      </w:r>
      <w:r>
        <w:rPr>
          <w:rFonts w:ascii="Cambria" w:cs="Cambria" w:eastAsia="Cambria" w:hAnsi="Cambria"/>
          <w:b w:val="false"/>
          <w:bCs w:val="false"/>
          <w:color w:val="1A1A1A"/>
          <w:sz w:val="22"/>
          <w:szCs w:val="22"/>
        </w:rPr>
        <w:t xml:space="preserve">The experience of Solano in Lazio and of the IAPT, POH-GGZ and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models confirms that the structural integration of the psychologist into general practice is one of the highest-return investments currently available for common mental disorders, in health and economic terms alike, particularly for its capacity to accurately discriminate between organic disease and psychosomatic disorders, reducing unnecessary visits, tests and medications.</w:t>
      </w:r>
    </w:p>
    <w:p>
      <w:pPr>
        <w:spacing w:after="150" w:line="276"/>
        <w:jc w:val="both"/>
      </w:pPr>
      <w:r>
        <w:rPr>
          <w:rFonts w:ascii="Cambria" w:cs="Cambria" w:eastAsia="Cambria" w:hAnsi="Cambria"/>
          <w:b w:val="false"/>
          <w:bCs w:val="false"/>
          <w:color w:val="1A1A1A"/>
          <w:sz w:val="22"/>
          <w:szCs w:val="22"/>
        </w:rPr>
        <w:t xml:space="preserve">In light of these elements,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cannot be regarded as an additional cost item, but as an intelligent spending-review measure, with a very high social and health return, fully aligned with the best international evidence and with the structural needs of the Apulian Regional Health Service.</w:t>
      </w:r>
    </w:p>
    <w:p>
      <w:pPr>
        <w:spacing w:after="150" w:line="276"/>
        <w:jc w:val="both"/>
      </w:pPr>
      <w:r>
        <w:rPr>
          <w:rFonts w:ascii="Cambria" w:cs="Cambria" w:eastAsia="Cambria" w:hAnsi="Cambria"/>
          <w:b w:val="false"/>
          <w:bCs w:val="false"/>
          <w:color w:val="1A1A1A"/>
          <w:sz w:val="22"/>
          <w:szCs w:val="22"/>
        </w:rPr>
        <w:t xml:space="preserve">This Chapter 7 concludes the analytical block dedicated to quantifying costs and economic benefits. On this basis, the following chapters can focus on defining policy options, implementation governance, and the monitoring and evaluation mechanisms needed to maximise the measure's impact over time.</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CHAPTER 8 — Policy options, implementation governance, and the monitoring and evaluation system</w:t>
      </w:r>
    </w:p>
    <w:p>
      <w:pPr>
        <w:spacing w:after="200"/>
      </w:pPr>
      <w:r>
        <w:rPr>
          <w:rFonts w:ascii="Calibri" w:cs="Calibri" w:eastAsia="Calibri" w:hAnsi="Calibri"/>
          <w:i/>
          <w:iCs/>
          <w:color w:val="2E4272"/>
          <w:sz w:val="24"/>
          <w:szCs w:val="24"/>
        </w:rPr>
        <w:t xml:space="preserve">From economic advantage to implementation: regulatory instruments, organisational models and impact evaluation</w:t>
      </w:r>
    </w:p>
    <w:p>
      <w:pPr>
        <w:keepNext/>
        <w:spacing w:after="120" w:before="300" w:line="264"/>
        <w:outlineLvl w:val="1"/>
      </w:pPr>
      <w:r>
        <w:rPr>
          <w:rFonts w:ascii="Calibri" w:cs="Calibri" w:eastAsia="Calibri" w:hAnsi="Calibri"/>
          <w:b/>
          <w:bCs/>
          <w:color w:val="16264B"/>
          <w:sz w:val="30"/>
          <w:szCs w:val="30"/>
        </w:rPr>
        <w:t xml:space="preserve">8.1. Object of the Chapter and the transition from economic evaluation to implementation</w:t>
      </w:r>
    </w:p>
    <w:p>
      <w:pPr>
        <w:spacing w:after="150" w:line="276"/>
        <w:jc w:val="both"/>
      </w:pPr>
      <w:r>
        <w:rPr>
          <w:rFonts w:ascii="Cambria" w:cs="Cambria" w:eastAsia="Cambria" w:hAnsi="Cambria"/>
          <w:b w:val="false"/>
          <w:bCs w:val="false"/>
          <w:color w:val="1A1A1A"/>
          <w:sz w:val="22"/>
          <w:szCs w:val="22"/>
        </w:rPr>
        <w:t xml:space="preserve">Chapters 4 to 7 established, with a prudential and evidence-based approach,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is not only financially sustainable but clearly advantageous: against an annual steady-state cost in the order of €40 million, the programme generates a benefit-cost ratio of between 9:1 and 12:1 and a net economic balance for the public sector that, at five years, falls between €395 and 462.5 million per year. These results, however, do not describe an automatic outcome of establishing the Service, but rather the potential return of an intervention that is correctly designed, governed and monitored.</w:t>
      </w:r>
    </w:p>
    <w:p>
      <w:pPr>
        <w:spacing w:after="150" w:line="276"/>
        <w:jc w:val="both"/>
      </w:pPr>
      <w:r>
        <w:rPr>
          <w:rFonts w:ascii="Cambria" w:cs="Cambria" w:eastAsia="Cambria" w:hAnsi="Cambria"/>
          <w:b w:val="false"/>
          <w:bCs w:val="false"/>
          <w:color w:val="1A1A1A"/>
          <w:sz w:val="22"/>
          <w:szCs w:val="22"/>
        </w:rPr>
        <w:t xml:space="preserve">The same scenario analysis developed in Chapters 5 and 6 shows that the range of economic return is not indeterminate, but depends directly on the quality of implementation: under the prudent scenario, characterised by slow start-up, incomplete teams and weak integration with general practice, the direct benefit-cost ratio falls to approximately 4:1; under the central scenario, which presupposes good organisational integration, structured clinical supervision and systematic use of monitoring tools, it rises to 6–7:1; under the expansive scenario, which requires the full maturation of the model over an eight-to-ten-year horizon, it exceeds 8:1. The difference between these outcomes is not clinical in nature, but organisational and managerial.</w:t>
      </w:r>
    </w:p>
    <w:p>
      <w:pPr>
        <w:spacing w:after="150" w:line="276"/>
        <w:jc w:val="both"/>
      </w:pPr>
      <w:r>
        <w:rPr>
          <w:rFonts w:ascii="Cambria" w:cs="Cambria" w:eastAsia="Cambria" w:hAnsi="Cambria"/>
          <w:b w:val="false"/>
          <w:bCs w:val="false"/>
          <w:color w:val="1A1A1A"/>
          <w:sz w:val="22"/>
          <w:szCs w:val="22"/>
        </w:rPr>
        <w:t xml:space="preserve">This Chapter therefore addresses the three dimensions that determine which scenario is actually realised: the policy options and regulatory instruments through which the Region can establish and stabilise the Service; the implementation governance architecture, articulated across the regional, agency and district levels; and the monitoring and evaluation system that allows ex-ante estimates to be transformed into verifiable commitments and any deviations to be corrected in time.</w:t>
      </w:r>
    </w:p>
    <w:p>
      <w:pPr>
        <w:spacing w:after="150" w:line="276"/>
        <w:jc w:val="both"/>
      </w:pPr>
      <w:r>
        <w:rPr>
          <w:rFonts w:ascii="Cambria" w:cs="Cambria" w:eastAsia="Cambria" w:hAnsi="Cambria"/>
          <w:b w:val="false"/>
          <w:bCs w:val="false"/>
          <w:color w:val="1A1A1A"/>
          <w:sz w:val="22"/>
          <w:szCs w:val="22"/>
        </w:rPr>
        <w:t xml:space="preserve">Consistent with the framework of the entire work, the Chapter does not prescribe a single rigid solution, but presents an ordered range of options, each with its respective advantages and disadvantages, leaving the final choice to regional political-administrative responsibility. All proposals are anchored to the institutional framework actually in force — Ministerial Decree 77 of 2022 on territorial-care standards, Mission 6 of the National Recovery and Resilience Plan, regional health planning, and the system of Essential Levels of Care — of which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constitutes a natural completion, particularly within the Community Houses.</w:t>
      </w:r>
    </w:p>
    <w:p>
      <w:pPr>
        <w:keepNext/>
        <w:spacing w:after="120" w:before="300" w:line="264"/>
        <w:outlineLvl w:val="1"/>
      </w:pPr>
      <w:r>
        <w:rPr>
          <w:rFonts w:ascii="Calibri" w:cs="Calibri" w:eastAsia="Calibri" w:hAnsi="Calibri"/>
          <w:b/>
          <w:bCs/>
          <w:color w:val="16264B"/>
          <w:sz w:val="30"/>
          <w:szCs w:val="30"/>
        </w:rPr>
        <w:t xml:space="preserve">8.2. Regional policy options and regulatory instruments</w:t>
      </w:r>
    </w:p>
    <w:p>
      <w:pPr>
        <w:spacing w:after="150" w:line="276"/>
        <w:jc w:val="both"/>
      </w:pPr>
      <w:r>
        <w:rPr>
          <w:rFonts w:ascii="Cambria" w:cs="Cambria" w:eastAsia="Cambria" w:hAnsi="Cambria"/>
          <w:b w:val="false"/>
          <w:bCs w:val="false"/>
          <w:color w:val="1A1A1A"/>
          <w:sz w:val="22"/>
          <w:szCs w:val="22"/>
        </w:rPr>
        <w:t xml:space="preserve">The first decision the Region must take concerns the legal-administrative instrument by which to establish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This choice is not purely formal: on it depend the stability of the intervention over time, the certainty of funding coverage, the timing of start-up, and the degree to which the measure can be reversed. Four principal options can be outlined, not necessarily alternatives but combinable in sequence.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An establishing regional law. The Region may pass a regional law formally establishing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as a structural level of territorial care, defining its objectives, reference staffing, placement within the Community Houses, and operating principles. This option guarantees maximum regulatory and symbolic stability, binds multi-year planning, and grants the professional figure full institutional legitimation; on the other hand, it requires a longer process and broad political consensus, and enshrines in primary legislation choices that, at an early stage, might benefit from greater flexibility.</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 Regional Executive resolution and health planning. Alternatively, or as a preparatory step, the Regional Executive (Giunta) may establish the Service by resolution, integrating it into the Regional Health Plan and incorporating it into the corporate instruments of the Local Health Authorities. This instrument is quicker and more flexible, allows adjustments as implementation proceeds, and does not require approval by the Regional Council; however, it carries less binding force and greater exposure to changes in political direction and budget.</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 regional pilot with subsequent transition to steady state. The Region may launch the Service as a time-limited pilot project, confined to certain districts or Community Houses, with the aim of gathering effectiveness and cost data before general roll-out. This option minimises initial risk and produces local evidence directly usable for evaluation; it does, however, carry the risk that the intervention remains confined to a provisional condition and is never stabilised, with a consequent dispersal of trained professional capital.</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Integration within the framework of Ministerial Decree 77 of 2022. Regardless of the instrument chosen, the Service can be positioned within the territorial-care architecture already provided for at national level, identifying the Community Houses as the natural home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and the Primary Care Units and the Territorial Functional Aggregations of General Practitioners as the operational interface. This positioning makes it possible to capitalise on infrastructure investments already funded by the National Recovery and Resilience Plan and to place the new professional figure within a recognised organisational framework, reducing system costs.</w:t>
      </w:r>
    </w:p>
    <w:p>
      <w:pPr>
        <w:spacing w:after="150" w:line="276"/>
        <w:jc w:val="both"/>
      </w:pPr>
      <w:r>
        <w:rPr>
          <w:rFonts w:ascii="Cambria" w:cs="Cambria" w:eastAsia="Cambria" w:hAnsi="Cambria"/>
          <w:b w:val="false"/>
          <w:bCs w:val="false"/>
          <w:color w:val="1A1A1A"/>
          <w:sz w:val="22"/>
          <w:szCs w:val="22"/>
        </w:rPr>
        <w:t xml:space="preserve">From an implementation standpoint, the most prudent and effective sequence consists in combining these instruments rather than setting them against one another: launching the Service through a Regional Executive resolution and an extended but structured pilot phase, positioning it from the outset within the Community Houses in line with the Decree 77 framework, and consolidating it through a regional law as soon as the first monitoring data confirm the expected results, binding staffing and funding coverage in primary legislation. This progression makes it possible to combine speed of start-up, flexibility for learning, and long-term stability.</w:t>
      </w:r>
    </w:p>
    <w:p>
      <w:pPr>
        <w:spacing w:after="150" w:line="276"/>
        <w:jc w:val="both"/>
      </w:pPr>
      <w:r>
        <w:rPr>
          <w:rFonts w:ascii="Cambria" w:cs="Cambria" w:eastAsia="Cambria" w:hAnsi="Cambria"/>
          <w:b w:val="false"/>
          <w:bCs w:val="false"/>
          <w:color w:val="1A1A1A"/>
          <w:sz w:val="22"/>
          <w:szCs w:val="22"/>
        </w:rPr>
        <w:t xml:space="preserve">At the national level, the regional choice fits within a broader debate on the figure of the primary care psychologist, hitherto addressed centrally mainly through episodic, limited-value measures, such as the psychological-support contribution, which are insufficient to build a stable service tier. By anticipating this reform, the Apulia Region can take on a pioneering role, defining a replicable organisational model and producing empirical evidence that is also useful to the national legislator.</w:t>
      </w:r>
    </w:p>
    <w:p>
      <w:pPr>
        <w:spacing w:after="150" w:line="276"/>
        <w:jc w:val="both"/>
      </w:pPr>
      <w:r>
        <w:rPr>
          <w:rFonts w:ascii="Cambria" w:cs="Cambria" w:eastAsia="Cambria" w:hAnsi="Cambria"/>
          <w:b w:val="false"/>
          <w:bCs w:val="false"/>
          <w:color w:val="1A1A1A"/>
          <w:sz w:val="22"/>
          <w:szCs w:val="22"/>
        </w:rPr>
        <w:t xml:space="preserve">As for funding coverage, Chapter 7 has already indicated a combinable set of instruments: the reinvestment of a share of certified savings on pharmaceuticals, specialist care and hospitalisations through district budgets; integration with national mental health funds and with the resources of the National Recovery and Resilience Plan; cross-sectoral agreements with the departments responsible for employment and social policy for sharing indirect savings; and, at steady state, the structural earmarking of part of the savings for refinancing the Service. Financial sustainability therefore does not depend on significant net additional resources, but on the capacity to requalify and recover expenditure that is already today being deployed inappropriately.</w:t>
      </w:r>
    </w:p>
    <w:p>
      <w:pPr>
        <w:keepNext/>
        <w:spacing w:after="120" w:before="300" w:line="264"/>
        <w:outlineLvl w:val="1"/>
      </w:pPr>
      <w:r>
        <w:rPr>
          <w:rFonts w:ascii="Calibri" w:cs="Calibri" w:eastAsia="Calibri" w:hAnsi="Calibri"/>
          <w:b/>
          <w:bCs/>
          <w:color w:val="16264B"/>
          <w:sz w:val="30"/>
          <w:szCs w:val="30"/>
        </w:rPr>
        <w:t xml:space="preserve">8.3. Organisational models and implementation scenarios</w:t>
      </w:r>
    </w:p>
    <w:p>
      <w:pPr>
        <w:spacing w:after="150" w:line="276"/>
        <w:jc w:val="both"/>
      </w:pPr>
      <w:r>
        <w:rPr>
          <w:rFonts w:ascii="Cambria" w:cs="Cambria" w:eastAsia="Cambria" w:hAnsi="Cambria"/>
          <w:b w:val="false"/>
          <w:bCs w:val="false"/>
          <w:color w:val="1A1A1A"/>
          <w:sz w:val="22"/>
          <w:szCs w:val="22"/>
        </w:rPr>
        <w:t xml:space="preserve">Once the regulatory instrument has been defined, the organisational model must be specified. The reference staffing level, consistent with the preceding chapters, is 800 psychologists under the standard scenario, rising to 900 under the expansive scenario. Distribution across the territory cannot be purely proportional to population, but must take need into account: the density of socioeconomic deprivation, the prevalence of chronic conditions, the length of waiting lists for specialist services, and the inappropriate burden weighing on the Mental Health Centres. An allocation criterion weighted for these factors concentrates resources where the expected clinical and economic return is greatest, particularly in inland areas and in districts with the greatest social fragility.</w:t>
      </w:r>
    </w:p>
    <w:p>
      <w:pPr>
        <w:spacing w:after="150" w:line="276"/>
        <w:jc w:val="both"/>
      </w:pPr>
      <w:r>
        <w:rPr>
          <w:rFonts w:ascii="Cambria" w:cs="Cambria" w:eastAsia="Cambria" w:hAnsi="Cambria"/>
          <w:b w:val="false"/>
          <w:bCs w:val="false"/>
          <w:color w:val="1A1A1A"/>
          <w:sz w:val="22"/>
          <w:szCs w:val="22"/>
        </w:rPr>
        <w:t xml:space="preserve">With regard to the employment relationship, three models can be outlined, each with significant implications for continuity, integration and speed of deployment:</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Employment relationship with the Regional Health Service. Permanent employment guarantees continuity of care, full integration within teams, career development, and the stability of trained professional capital — elements that the international literature associates with the best outcomes; it does, however, require competitive-examination procedures and more rigid workforce planning.</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An agreement-based or outpatient-specialist relationship. Recourse to agreement-based arrangements, on the model of the National Collective Agreements, allows for more rapid deployment and greater organisational flexibility, but tends to produce weaker integration with general practice and less continuity of care.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 mixed model. An intermediate solution provides for a stable core of employed psychologists, responsible for clinical coordination and continuity within the Community Houses, supported by an agreement-based quota that can be activated to meet demand peaks and the needs of low-density areas. This model combines stability and flexibility and is compatible with a gradual start-up.</w:t>
      </w:r>
    </w:p>
    <w:p>
      <w:pPr>
        <w:spacing w:after="150" w:line="276"/>
        <w:jc w:val="both"/>
      </w:pPr>
      <w:r>
        <w:rPr>
          <w:rFonts w:ascii="Cambria" w:cs="Cambria" w:eastAsia="Cambria" w:hAnsi="Cambria"/>
          <w:b w:val="false"/>
          <w:bCs w:val="false"/>
          <w:color w:val="1A1A1A"/>
          <w:sz w:val="22"/>
          <w:szCs w:val="22"/>
        </w:rPr>
        <w:t xml:space="preserve">Operational placement follows a </w:t>
      </w:r>
      <w:r>
        <w:rPr>
          <w:rFonts w:ascii="Cambria" w:cs="Cambria" w:eastAsia="Cambria" w:hAnsi="Cambria"/>
          <w:b w:val="false"/>
          <w:bCs w:val="false"/>
          <w:i/>
          <w:iCs/>
          <w:color w:val="1A1A1A"/>
          <w:sz w:val="22"/>
          <w:szCs w:val="22"/>
        </w:rPr>
        <w:t xml:space="preserve">hub-and-spoke</w:t>
      </w:r>
      <w:r>
        <w:rPr>
          <w:rFonts w:ascii="Cambria" w:cs="Cambria" w:eastAsia="Cambria" w:hAnsi="Cambria"/>
          <w:b w:val="false"/>
          <w:bCs w:val="false"/>
          <w:color w:val="1A1A1A"/>
          <w:sz w:val="22"/>
          <w:szCs w:val="22"/>
        </w:rPr>
        <w:t xml:space="preserve"> logic: the Community Houses constitute the principal nodes, hosting structured clinical activity and coordination; General Practitioners' practices, organised within Territorial Functional Aggregations, represent the peripheral nodes, where co-location is achieved following the Solano model; telepsychology extends coverage to inland and rural areas, ensuring continuity and reducing travel, consistent with what was found in Chapter 6 regarding costs borne by families.</w:t>
      </w:r>
    </w:p>
    <w:p>
      <w:pPr>
        <w:spacing w:after="150" w:line="276"/>
        <w:jc w:val="both"/>
      </w:pPr>
      <w:r>
        <w:rPr>
          <w:rFonts w:ascii="Cambria" w:cs="Cambria" w:eastAsia="Cambria" w:hAnsi="Cambria"/>
          <w:b w:val="false"/>
          <w:bCs w:val="false"/>
          <w:color w:val="1A1A1A"/>
          <w:sz w:val="22"/>
          <w:szCs w:val="22"/>
        </w:rPr>
        <w:t xml:space="preserve">Implementation follows a gradual curve, consistent with that modelled in Chapters 5 and 6: approximately 30% of the complement in the first year (240 psychologists), 60% by the third (480–500), and 100% by the fifth (800). The sequence in which districts are activated is defined according to explicit and verifiable criteria — the deprivation index, waiting lists, the burden on the Mental Health Centres, and the availability of operational Community Houses — so as to make the order of priority transparent and defensible.</w:t>
      </w:r>
    </w:p>
    <w:p>
      <w:pPr>
        <w:spacing w:after="150" w:line="276"/>
        <w:jc w:val="both"/>
      </w:pPr>
      <w:r>
        <w:rPr>
          <w:rFonts w:ascii="Cambria" w:cs="Cambria" w:eastAsia="Cambria" w:hAnsi="Cambria"/>
          <w:b w:val="false"/>
          <w:bCs w:val="false"/>
          <w:color w:val="1A1A1A"/>
          <w:sz w:val="22"/>
          <w:szCs w:val="22"/>
        </w:rPr>
        <w:t xml:space="preserve">The sizing of production capacity assumes, at steady state, the care of approximately 195,000 people per year, equal to approximately 5% of the resident population, with brief psychological interventions graduated in intensity according to the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model. Workload per psychologist (</w:t>
      </w:r>
      <w:r>
        <w:rPr>
          <w:rFonts w:ascii="Cambria" w:cs="Cambria" w:eastAsia="Cambria" w:hAnsi="Cambria"/>
          <w:b w:val="false"/>
          <w:bCs w:val="false"/>
          <w:i/>
          <w:iCs/>
          <w:color w:val="1A1A1A"/>
          <w:sz w:val="22"/>
          <w:szCs w:val="22"/>
        </w:rPr>
        <w:t xml:space="preserve">caseload</w:t>
      </w:r>
      <w:r>
        <w:rPr>
          <w:rFonts w:ascii="Cambria" w:cs="Cambria" w:eastAsia="Cambria" w:hAnsi="Cambria"/>
          <w:b w:val="false"/>
          <w:bCs w:val="false"/>
          <w:color w:val="1A1A1A"/>
          <w:sz w:val="22"/>
          <w:szCs w:val="22"/>
        </w:rPr>
        <w:t xml:space="preserve">) must be defined so as to preserve clinical quality and supervision, avoiding a situation in which quantitative pressure undermines the rate of clinically significant improvement, estimated in the preceding chapters at around 50%.</w:t>
      </w:r>
    </w:p>
    <w:p>
      <w:pPr>
        <w:keepNext/>
        <w:spacing w:after="120" w:before="300" w:line="264"/>
        <w:outlineLvl w:val="1"/>
      </w:pPr>
      <w:r>
        <w:rPr>
          <w:rFonts w:ascii="Calibri" w:cs="Calibri" w:eastAsia="Calibri" w:hAnsi="Calibri"/>
          <w:b/>
          <w:bCs/>
          <w:color w:val="16264B"/>
          <w:sz w:val="30"/>
          <w:szCs w:val="30"/>
        </w:rPr>
        <w:t xml:space="preserve">8.4. Multilevel implementation governance</w:t>
      </w:r>
    </w:p>
    <w:p>
      <w:pPr>
        <w:spacing w:after="150" w:line="276"/>
        <w:jc w:val="both"/>
      </w:pPr>
      <w:r>
        <w:rPr>
          <w:rFonts w:ascii="Cambria" w:cs="Cambria" w:eastAsia="Cambria" w:hAnsi="Cambria"/>
          <w:b w:val="false"/>
          <w:bCs w:val="false"/>
          <w:color w:val="1A1A1A"/>
          <w:sz w:val="22"/>
          <w:szCs w:val="22"/>
        </w:rPr>
        <w:t xml:space="preserve">The quality of implementation depends decisively on the governance architecture. A model articulated across three levels is proposed, with clearly defined responsibilities and lines of accountability.</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Regional level. A steering committee established within the competent Regional Department defines organisational and clinical standards, allocates resources, coordinates monitoring, and manages institutional relations with the Order of Psychologists of Apulia, with general-practice organisations, and with the other Departments involved. This level holds strategic ownership of the programme and responsibility for its overall evaluation.</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Agency level. In each Local Health Authority, a corporate service manager ensures implementation, integration with the District and with the Department of Mental Health, and incorporation into corporate instruments. This level translates regional direction into operational organisation and ensures coordination with other territorial services.</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District and operational level. In each district, a coordinator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activities oversees the teams placed within the Community Houses and coordination with the Territorial Functional Aggregations of General Practitioners. This is the level at which clinical co-location is concretely realised and the daily flow of patients is managed.</w:t>
      </w:r>
    </w:p>
    <w:p>
      <w:pPr>
        <w:spacing w:after="150" w:line="276"/>
        <w:jc w:val="both"/>
      </w:pPr>
      <w:r>
        <w:rPr>
          <w:rFonts w:ascii="Cambria" w:cs="Cambria" w:eastAsia="Cambria" w:hAnsi="Cambria"/>
          <w:b w:val="false"/>
          <w:bCs w:val="false"/>
          <w:color w:val="1A1A1A"/>
          <w:sz w:val="22"/>
          <w:szCs w:val="22"/>
        </w:rPr>
        <w:t xml:space="preserve">Cutting across all three levels is clinical governance, which comprises structured clinical supervision, periodic audit of protocol adherence, continuing education, and the management of the outcome-monitoring system. Supervision, in particular, is not an accessory element but a documented condition for effectiveness in international models, and must be guaranteed continuously from the start-up phase onward.</w:t>
      </w:r>
    </w:p>
    <w:p>
      <w:pPr>
        <w:spacing w:after="150" w:line="276"/>
        <w:jc w:val="both"/>
      </w:pPr>
      <w:r>
        <w:rPr>
          <w:rFonts w:ascii="Cambria" w:cs="Cambria" w:eastAsia="Cambria" w:hAnsi="Cambria"/>
          <w:b w:val="false"/>
          <w:bCs w:val="false"/>
          <w:color w:val="1A1A1A"/>
          <w:sz w:val="22"/>
          <w:szCs w:val="22"/>
        </w:rPr>
        <w:t xml:space="preserve">A critical aspect of governance is the precise definition of functional boundaries. The Primary Care Psychologist operates as the first level of psychological intervention within primary care and does not overlap with the Mental Health Centre, which retains competence over severe and persistent disorders; with respect to the General Practitioner, the relationship is one of co-management, not substitution. Clarity regarding these boundaries prevents conflicts of competence, avoids duplication, and allows each actor to concentrate on their own remit — an indispensable condition for achieving the filtering effect quantified in Chapters 5 and 7.</w:t>
      </w:r>
    </w:p>
    <w:p>
      <w:pPr>
        <w:keepNext/>
        <w:spacing w:after="120" w:before="300" w:line="264"/>
        <w:outlineLvl w:val="1"/>
      </w:pPr>
      <w:r>
        <w:rPr>
          <w:rFonts w:ascii="Calibri" w:cs="Calibri" w:eastAsia="Calibri" w:hAnsi="Calibri"/>
          <w:b/>
          <w:bCs/>
          <w:color w:val="16264B"/>
          <w:sz w:val="30"/>
          <w:szCs w:val="30"/>
        </w:rPr>
        <w:t xml:space="preserve">8.5. Clinical-organisational integration: pathways, stepped care, and coordination with the Mental Health Centres</w:t>
      </w:r>
    </w:p>
    <w:p>
      <w:pPr>
        <w:spacing w:after="150" w:line="276"/>
        <w:jc w:val="both"/>
      </w:pPr>
      <w:r>
        <w:rPr>
          <w:rFonts w:ascii="Cambria" w:cs="Cambria" w:eastAsia="Cambria" w:hAnsi="Cambria"/>
          <w:b w:val="false"/>
          <w:bCs w:val="false"/>
          <w:color w:val="1A1A1A"/>
          <w:sz w:val="22"/>
          <w:szCs w:val="22"/>
        </w:rPr>
        <w:t xml:space="preserve">The clinical and economic effectiveness of the Service rests on the consistent adoption of the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model, which graduates the intensity of intervention according to severity and response. At the base level are the least intensive interventions — psychoeducation, guided self-help, group interventions — reserving the most intensive services for cases that do not respond to the initial steps. This organisation makes it possible to treat a large number of people with contained resources, concentrating intensity where it is genuinely needed.</w:t>
      </w:r>
    </w:p>
    <w:p>
      <w:pPr>
        <w:spacing w:after="150" w:line="276"/>
        <w:jc w:val="both"/>
      </w:pPr>
      <w:r>
        <w:rPr>
          <w:rFonts w:ascii="Cambria" w:cs="Cambria" w:eastAsia="Cambria" w:hAnsi="Cambria"/>
          <w:b w:val="false"/>
          <w:bCs w:val="false"/>
          <w:color w:val="1A1A1A"/>
          <w:sz w:val="22"/>
          <w:szCs w:val="22"/>
        </w:rPr>
        <w:t xml:space="preserve">Operational integration requires the definition of clinical care pathways for the conditions most frequently encountered in primary care: anxiety disorders, mild-to-moderate depressive episodes, adjustment disorders, somatisation and somatic symptom disorders. Each pathway specifies the access criteria, assessment tools, the interventions provided for each level of intensity, and outcome criteria, ensuring consistency and appropriateness across the entire regional territory.</w:t>
      </w:r>
    </w:p>
    <w:p>
      <w:pPr>
        <w:spacing w:after="150" w:line="276"/>
        <w:jc w:val="both"/>
      </w:pPr>
      <w:r>
        <w:rPr>
          <w:rFonts w:ascii="Cambria" w:cs="Cambria" w:eastAsia="Cambria" w:hAnsi="Cambria"/>
          <w:b w:val="false"/>
          <w:bCs w:val="false"/>
          <w:color w:val="1A1A1A"/>
          <w:sz w:val="22"/>
          <w:szCs w:val="22"/>
        </w:rPr>
        <w:t xml:space="preserve">Referral criteria must be explicit and bidirectional. The General Practitioner refers to the Primary Care Psychologist patients with psychological distress and functional symptoms; the Primary Care Psychologist refers to the Mental Health Centre cases that meet criteria of severity, risk or psychiatric complexity; the Mental Health Centre, in turn, can share with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the follow-up of stabilised patients. It is precisely this arrangement that allows the reduction in inappropriate referrals to specialist services — estimated in Chapter 5 at at least 10% and observed in Solano's studies at up to 40–50% for common disorders — and the consequent structural easing of the burden on the Mental Health Centres.</w:t>
      </w:r>
    </w:p>
    <w:p>
      <w:pPr>
        <w:spacing w:after="150" w:line="276"/>
        <w:jc w:val="both"/>
      </w:pPr>
      <w:r>
        <w:rPr>
          <w:rFonts w:ascii="Cambria" w:cs="Cambria" w:eastAsia="Cambria" w:hAnsi="Cambria"/>
          <w:b w:val="false"/>
          <w:bCs w:val="false"/>
          <w:color w:val="1A1A1A"/>
          <w:sz w:val="22"/>
          <w:szCs w:val="22"/>
        </w:rPr>
        <w:t xml:space="preserve">The Service also coordinates with other territorial services: family counselling centres, child and adolescent neuropsychiatry for the transition to adulthood, addiction services, and municipal social services. This coordination avoids fragmentation and duplication and allows a genuinely integrated approach to multi-problem situations, consistent with the biopsychosocial logic that runs through the entire work.</w:t>
      </w:r>
    </w:p>
    <w:p>
      <w:pPr>
        <w:keepNext/>
        <w:spacing w:after="120" w:before="300" w:line="264"/>
        <w:outlineLvl w:val="1"/>
      </w:pPr>
      <w:r>
        <w:rPr>
          <w:rFonts w:ascii="Calibri" w:cs="Calibri" w:eastAsia="Calibri" w:hAnsi="Calibri"/>
          <w:b/>
          <w:bCs/>
          <w:color w:val="16264B"/>
          <w:sz w:val="30"/>
          <w:szCs w:val="30"/>
        </w:rPr>
        <w:t xml:space="preserve">8.6. Recruitment, training and professional development</w:t>
      </w:r>
    </w:p>
    <w:p>
      <w:pPr>
        <w:spacing w:after="150" w:line="276"/>
        <w:jc w:val="both"/>
      </w:pPr>
      <w:r>
        <w:rPr>
          <w:rFonts w:ascii="Cambria" w:cs="Cambria" w:eastAsia="Cambria" w:hAnsi="Cambria"/>
          <w:b w:val="false"/>
          <w:bCs w:val="false"/>
          <w:color w:val="1A1A1A"/>
          <w:sz w:val="22"/>
          <w:szCs w:val="22"/>
        </w:rPr>
        <w:t xml:space="preserve">The sustainability of the Service depends on the availability of adequately trained professionals. The profile required is that of a psychologist with clinical or health-psychology training and specific competencies in brief intervention within primary care and in collaboration with general practice, following the model developed by Solano. Apulia has a large pool of psychologists who are unemployed or in precarious employment: the establishment of the Service therefore also represents a significant qualified-employment opportunity, consistent with the repeatedly stated objective of retaining trained human capital within the regional territory.</w:t>
      </w:r>
    </w:p>
    <w:p>
      <w:pPr>
        <w:spacing w:after="150" w:line="276"/>
        <w:jc w:val="both"/>
      </w:pPr>
      <w:r>
        <w:rPr>
          <w:rFonts w:ascii="Cambria" w:cs="Cambria" w:eastAsia="Cambria" w:hAnsi="Cambria"/>
          <w:b w:val="false"/>
          <w:bCs w:val="false"/>
          <w:color w:val="1A1A1A"/>
          <w:sz w:val="22"/>
          <w:szCs w:val="22"/>
        </w:rPr>
        <w:t xml:space="preserve">Initial training must be targeted and consistent, centred on the model of co-location with the General Practitioner, on brief, empirically based psychological interventions, on the use of outcome-monitoring tools, and on multi-professional teamwork. Continuing education, accredited within the Continuing Medical Education system, keeps competencies up to date and fosters the spread of good practice across sites.</w:t>
      </w:r>
    </w:p>
    <w:p>
      <w:pPr>
        <w:spacing w:after="150" w:line="276"/>
        <w:jc w:val="both"/>
      </w:pPr>
      <w:r>
        <w:rPr>
          <w:rFonts w:ascii="Cambria" w:cs="Cambria" w:eastAsia="Cambria" w:hAnsi="Cambria"/>
          <w:b w:val="false"/>
          <w:bCs w:val="false"/>
          <w:color w:val="1A1A1A"/>
          <w:sz w:val="22"/>
          <w:szCs w:val="22"/>
        </w:rPr>
        <w:t xml:space="preserve">Structured clinical supervision constitutes an essential requirement, not an optional element: the international programmes that have achieved the best results provide for it systematically and continuously. It ensures the quality and appropriateness of interventions, supports professionals in complex situations, and helps prevent burnout and turnover.</w:t>
      </w:r>
    </w:p>
    <w:p>
      <w:pPr>
        <w:spacing w:after="150" w:line="276"/>
        <w:jc w:val="both"/>
      </w:pPr>
      <w:r>
        <w:rPr>
          <w:rFonts w:ascii="Cambria" w:cs="Cambria" w:eastAsia="Cambria" w:hAnsi="Cambria"/>
          <w:b w:val="false"/>
          <w:bCs w:val="false"/>
          <w:color w:val="1A1A1A"/>
          <w:sz w:val="22"/>
          <w:szCs w:val="22"/>
        </w:rPr>
        <w:t xml:space="preserve">Finally, the definition of professional-development pathways and adequate recognition mechanisms is essential for retaining professionals. Staff stability is not only a matter of fairness towards workers, but a condition for the Service's effectiveness: the continuity of relationships with General Practitioners and with patients is one of the factors that, in the preceding chapters, have been associated with the full realisation of savings potential over the medium-to-long term.</w:t>
      </w:r>
    </w:p>
    <w:p>
      <w:pPr>
        <w:keepNext/>
        <w:spacing w:after="120" w:before="300" w:line="264"/>
        <w:outlineLvl w:val="1"/>
      </w:pPr>
      <w:r>
        <w:rPr>
          <w:rFonts w:ascii="Calibri" w:cs="Calibri" w:eastAsia="Calibri" w:hAnsi="Calibri"/>
          <w:b/>
          <w:bCs/>
          <w:color w:val="16264B"/>
          <w:sz w:val="30"/>
          <w:szCs w:val="30"/>
        </w:rPr>
        <w:t xml:space="preserve">8.7. Information system, outcome monitoring and digital infrastructure</w:t>
      </w:r>
    </w:p>
    <w:p>
      <w:pPr>
        <w:spacing w:after="150" w:line="276"/>
        <w:jc w:val="both"/>
      </w:pPr>
      <w:r>
        <w:rPr>
          <w:rFonts w:ascii="Cambria" w:cs="Cambria" w:eastAsia="Cambria" w:hAnsi="Cambria"/>
          <w:b w:val="false"/>
          <w:bCs w:val="false"/>
          <w:color w:val="1A1A1A"/>
          <w:sz w:val="22"/>
          <w:szCs w:val="22"/>
        </w:rPr>
        <w:t xml:space="preserve">The information system is the technical precondition for both clinical quality and economic evaluation. At the centre of this system lies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 based on validated, quick-to-administer tools for measuring depressive and anxiety symptoms and psychosocial functioning, administered at intake, during the course of treatment, and at its conclusion. Without systematic outcome measurement it is not possible to estimate the rate of clinically significant improvement — assumed in the preceding chapters at around 50% — nor to verify the intervention's return over time.</w:t>
      </w:r>
    </w:p>
    <w:p>
      <w:pPr>
        <w:spacing w:after="150" w:line="276"/>
        <w:jc w:val="both"/>
      </w:pPr>
      <w:r>
        <w:rPr>
          <w:rFonts w:ascii="Cambria" w:cs="Cambria" w:eastAsia="Cambria" w:hAnsi="Cambria"/>
          <w:b w:val="false"/>
          <w:bCs w:val="false"/>
          <w:color w:val="1A1A1A"/>
          <w:sz w:val="22"/>
          <w:szCs w:val="22"/>
        </w:rPr>
        <w:t xml:space="preserve">The Service's electronic clinical record must be interoperable with the Electronic Health Record and with the systems used in general practice and by the Departments of Mental Health, so as to allow informational continuity along care pathways and to automatically feed the monitoring system. Interoperability reduces the data-recording burden on professionals and improves the quality and timeliness of data.</w:t>
      </w:r>
    </w:p>
    <w:p>
      <w:pPr>
        <w:spacing w:after="150" w:line="276"/>
        <w:jc w:val="both"/>
      </w:pPr>
      <w:r>
        <w:rPr>
          <w:rFonts w:ascii="Cambria" w:cs="Cambria" w:eastAsia="Cambria" w:hAnsi="Cambria"/>
          <w:b w:val="false"/>
          <w:bCs w:val="false"/>
          <w:color w:val="1A1A1A"/>
          <w:sz w:val="22"/>
          <w:szCs w:val="22"/>
        </w:rPr>
        <w:t xml:space="preserve">Telepsychology, already noted as a tool for extending coverage, requires adequate technological infrastructure and specific clinical protocols defining its indications and limits. Properly employed, it increases accessibility in inland areas and supports continuity of care, without replacing in-person contact where this is clinically necessary.</w:t>
      </w:r>
    </w:p>
    <w:p>
      <w:pPr>
        <w:spacing w:after="150" w:line="276"/>
        <w:jc w:val="both"/>
      </w:pPr>
      <w:r>
        <w:rPr>
          <w:rFonts w:ascii="Cambria" w:cs="Cambria" w:eastAsia="Cambria" w:hAnsi="Cambria"/>
          <w:b w:val="false"/>
          <w:bCs w:val="false"/>
          <w:color w:val="1A1A1A"/>
          <w:sz w:val="22"/>
          <w:szCs w:val="22"/>
        </w:rPr>
        <w:t xml:space="preserve">Finally, data management requires rigorous safeguarding of confidentiality, in compliance with personal-data-protection legislation and professional secrecy. Data governance precisely defines ownership, purposes of processing, security measures and access arrangements, balancing the need for monitoring and evaluation with the protection of the rights of the people in care.</w:t>
      </w:r>
    </w:p>
    <w:p>
      <w:pPr>
        <w:keepNext/>
        <w:spacing w:after="120" w:before="300" w:line="264"/>
        <w:outlineLvl w:val="1"/>
      </w:pPr>
      <w:r>
        <w:rPr>
          <w:rFonts w:ascii="Calibri" w:cs="Calibri" w:eastAsia="Calibri" w:hAnsi="Calibri"/>
          <w:b/>
          <w:bCs/>
          <w:color w:val="16264B"/>
          <w:sz w:val="30"/>
          <w:szCs w:val="30"/>
        </w:rPr>
        <w:t xml:space="preserve">8.8. Monitoring and evaluation: indicator architecture and impact assessment</w:t>
      </w:r>
    </w:p>
    <w:p>
      <w:pPr>
        <w:spacing w:after="150" w:line="276"/>
        <w:jc w:val="both"/>
      </w:pPr>
      <w:r>
        <w:rPr>
          <w:rFonts w:ascii="Cambria" w:cs="Cambria" w:eastAsia="Cambria" w:hAnsi="Cambria"/>
          <w:b w:val="false"/>
          <w:bCs w:val="false"/>
          <w:color w:val="1A1A1A"/>
          <w:sz w:val="22"/>
          <w:szCs w:val="22"/>
        </w:rPr>
        <w:t xml:space="preserve">The monitoring and evaluation system translates the analytical framework of the preceding chapters into an operational tool for verification and learning. It rests on an explicit programme logic (</w:t>
      </w:r>
      <w:r>
        <w:rPr>
          <w:rFonts w:ascii="Cambria" w:cs="Cambria" w:eastAsia="Cambria" w:hAnsi="Cambria"/>
          <w:b w:val="false"/>
          <w:bCs w:val="false"/>
          <w:i/>
          <w:iCs/>
          <w:color w:val="1A1A1A"/>
          <w:sz w:val="22"/>
          <w:szCs w:val="22"/>
        </w:rPr>
        <w:t xml:space="preserve">theory of change</w:t>
      </w:r>
      <w:r>
        <w:rPr>
          <w:rFonts w:ascii="Cambria" w:cs="Cambria" w:eastAsia="Cambria" w:hAnsi="Cambria"/>
          <w:b w:val="false"/>
          <w:bCs w:val="false"/>
          <w:color w:val="1A1A1A"/>
          <w:sz w:val="22"/>
          <w:szCs w:val="22"/>
        </w:rPr>
        <w:t xml:space="preserve">) linking the resources employed to activities, outputs, clinical outcomes and, finally, economic and social impact. This logical chain allows observed results to be attributed transparently and the points at which any deviations arise to be identified.</w:t>
      </w:r>
    </w:p>
    <w:p>
      <w:pPr>
        <w:spacing w:after="150" w:line="276"/>
        <w:jc w:val="both"/>
      </w:pPr>
      <w:r>
        <w:rPr>
          <w:rFonts w:ascii="Cambria" w:cs="Cambria" w:eastAsia="Cambria" w:hAnsi="Cambria"/>
          <w:b w:val="false"/>
          <w:bCs w:val="false"/>
          <w:color w:val="1A1A1A"/>
          <w:sz w:val="22"/>
          <w:szCs w:val="22"/>
        </w:rPr>
        <w:t xml:space="preserve">The indicator architecture is organised across four complementary levels: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Structure indicators: number of psychologists per ten thousand inhabitants, degree of coverage of the Community Houses, technological and information-system capacity, availability of clinical supervision.</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Process indicators: number of people taken into care, waiting times for first contact, average number of sessions per pathway, adherence to care pathways, referral rate to the Mental Health Centres, intensity of collaboration with general practice.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Outcome indicators: rate of clinically significant improvement (assumed at around 50%), reduction in inappropriate pharmacological prescriptions, reduction in specialist visits and redundant diagnostic tests, reduction in inappropriate Emergency Department attendance, satisfaction of patients and General Practitioners.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Economic indicators: direct and indirect savings actually achieved compared with those estimated, verified benefit-cost ratio and net balance, referred to the one-, three-, five- and ten-year time horizons defined in Chapters 5, 6 and 7.</w:t>
      </w:r>
    </w:p>
    <w:p>
      <w:pPr>
        <w:spacing w:after="150" w:line="276"/>
        <w:jc w:val="both"/>
      </w:pPr>
      <w:r>
        <w:rPr>
          <w:rFonts w:ascii="Cambria" w:cs="Cambria" w:eastAsia="Cambria" w:hAnsi="Cambria"/>
          <w:b w:val="false"/>
          <w:bCs w:val="false"/>
          <w:color w:val="1A1A1A"/>
          <w:sz w:val="22"/>
          <w:szCs w:val="22"/>
        </w:rPr>
        <w:t xml:space="preserve">The evaluation design is organised into three phases. The ex-ante evaluation has already been carried out in Chapters 4 to 7, which constitute its basis. The in-itinere (ongoing) evaluation rests on a dashboard of indicators updated at least every six months and on a public annual report, allowing continuous monitoring and timely correction. The ex-post evaluation adopts, where possible, a counterfactual design: comparison between districts with differing degrees of coverage, made possible by the gradual roll-out of the Service, and analysis of historical expenditure and utilisation series before and after the introduction of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provide the conditions for rigorously estimating the impact actually attributable to the intervention.</w:t>
      </w:r>
    </w:p>
    <w:p>
      <w:pPr>
        <w:spacing w:after="150" w:line="276"/>
        <w:jc w:val="both"/>
      </w:pPr>
      <w:r>
        <w:rPr>
          <w:rFonts w:ascii="Cambria" w:cs="Cambria" w:eastAsia="Cambria" w:hAnsi="Cambria"/>
          <w:b w:val="false"/>
          <w:bCs w:val="false"/>
          <w:color w:val="1A1A1A"/>
          <w:sz w:val="22"/>
          <w:szCs w:val="22"/>
        </w:rPr>
        <w:t xml:space="preserve">The quantitative scenarios developed in the preceding chapters provide the target values against which the programme's progress is to be measured. In the first year, with 30% coverage and a start-up cost of €18–20 million, a direct saving of €70–90 million is expected; in the third, with 60% coverage, a saving of €180–210 million; in the fifth, at full steady state, a direct saving of around €270 million and a net balance for the public sector of between €395 and 462.5 million. These values are not presented as certainties, but as verifiable working hypotheses: the monitoring system's precise function is to compare observed results against these expectations and to account for any deviations.</w:t>
      </w:r>
    </w:p>
    <w:p>
      <w:pPr>
        <w:spacing w:after="150" w:line="276"/>
        <w:jc w:val="both"/>
      </w:pPr>
      <w:r>
        <w:rPr>
          <w:rFonts w:ascii="Cambria" w:cs="Cambria" w:eastAsia="Cambria" w:hAnsi="Cambria"/>
          <w:b w:val="false"/>
          <w:bCs w:val="false"/>
          <w:color w:val="1A1A1A"/>
          <w:sz w:val="22"/>
          <w:szCs w:val="22"/>
        </w:rPr>
        <w:t xml:space="preserve">The transparency of results and their periodic publication, finally, constitute a defining feature of the system. Evaluation is not conceived as a formal obligation, but as a learning mechanism that feeds the revision of standards and the progressive adaptation of the model, consistent with the evolving nature of programmes of this kind observed in international experience.</w:t>
      </w:r>
    </w:p>
    <w:p>
      <w:pPr>
        <w:keepNext/>
        <w:spacing w:after="120" w:before="300" w:line="264"/>
        <w:outlineLvl w:val="1"/>
      </w:pPr>
      <w:r>
        <w:rPr>
          <w:rFonts w:ascii="Calibri" w:cs="Calibri" w:eastAsia="Calibri" w:hAnsi="Calibri"/>
          <w:b/>
          <w:bCs/>
          <w:color w:val="16264B"/>
          <w:sz w:val="30"/>
          <w:szCs w:val="30"/>
        </w:rPr>
        <w:t xml:space="preserve">8.9. Implementation risks, stakeholders and change management</w:t>
      </w:r>
    </w:p>
    <w:p>
      <w:pPr>
        <w:spacing w:after="150" w:line="276"/>
        <w:jc w:val="both"/>
      </w:pPr>
      <w:r>
        <w:rPr>
          <w:rFonts w:ascii="Cambria" w:cs="Cambria" w:eastAsia="Cambria" w:hAnsi="Cambria"/>
          <w:b w:val="false"/>
          <w:bCs w:val="false"/>
          <w:color w:val="1A1A1A"/>
          <w:sz w:val="22"/>
          <w:szCs w:val="22"/>
        </w:rPr>
        <w:t xml:space="preserve">Implementing an intervention of this scale involves a plurality of actors with differing interests and positions, whose buy-in determines the programme's success. The Region and the competent Department hold strategic ownership; the Local Health Authorities and Districts oversee implementation; the Departments of Mental Health benefit from the easing of the inappropriate burden; General Practitioners gain from the reduction in repeated consultations; the Order of Psychologists of Apulia and individual professionals have an interest in the quality and stability of the new service tier; patients and their associations are its intended beneficiaries; and Municipalities and social services, the business community and trade union organisations are affected by the indirect effects described in Chapter 6.</w:t>
      </w:r>
    </w:p>
    <w:p>
      <w:pPr>
        <w:spacing w:after="150" w:line="276"/>
        <w:jc w:val="both"/>
      </w:pPr>
      <w:r>
        <w:rPr>
          <w:rFonts w:ascii="Cambria" w:cs="Cambria" w:eastAsia="Cambria" w:hAnsi="Cambria"/>
          <w:b w:val="false"/>
          <w:bCs w:val="false"/>
          <w:color w:val="1A1A1A"/>
          <w:sz w:val="22"/>
          <w:szCs w:val="22"/>
        </w:rPr>
        <w:t xml:space="preserve">The engagement strategy highlights, for each actor, the specific benefit the intervention produces: reduced workload for General Practitioners, recovered capacity to manage severe disorders for the Mental Health Centres, a qualified employment opportunity for psychologists, and budget sustainability for the Region. Making this alignment of interests explicit and verifiable is the precondition for building the necessary consensus.</w:t>
      </w:r>
    </w:p>
    <w:p>
      <w:pPr>
        <w:spacing w:after="150" w:line="276"/>
        <w:jc w:val="both"/>
      </w:pPr>
      <w:r>
        <w:rPr>
          <w:rFonts w:ascii="Cambria" w:cs="Cambria" w:eastAsia="Cambria" w:hAnsi="Cambria"/>
          <w:b w:val="false"/>
          <w:bCs w:val="false"/>
          <w:color w:val="1A1A1A"/>
          <w:sz w:val="22"/>
          <w:szCs w:val="22"/>
        </w:rPr>
        <w:t xml:space="preserve">Change management must anticipate foreseeable resistance: fears of overlapping competencies on the part of general practice and specialist services, concerns about the diversion of resources, and wariness towards a new organisational model. Transparent institutional communication, the early involvement of stakeholders in defining care pathways, and joint training between psychologists and physicians are the tools through which such resistance can be reduced and transformed into collaboration.</w:t>
      </w:r>
    </w:p>
    <w:p>
      <w:pPr>
        <w:spacing w:after="150" w:line="276"/>
        <w:jc w:val="both"/>
      </w:pPr>
      <w:r>
        <w:rPr>
          <w:rFonts w:ascii="Cambria" w:cs="Cambria" w:eastAsia="Cambria" w:hAnsi="Cambria"/>
          <w:b w:val="false"/>
          <w:bCs w:val="false"/>
          <w:color w:val="1A1A1A"/>
          <w:sz w:val="22"/>
          <w:szCs w:val="22"/>
        </w:rPr>
        <w:t xml:space="preserve">The principal implementation risks, and the corresponding mitigation strategies, can be summarised as follows: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slow and uneven start-up across territories: mitigable through a strong steering committee, explicit priority criteria and a binding timetable;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shortage or discontinuity of clinical supervision: mitigable by making supervision a structural, funded requirement from the initial phase onward;</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an incomplete information system and outcome-monitoring capacity: mitigable by investing early in digital infrastructure and interoperability;</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weak integration with general practice: mitigable through physical co-location, joint training and shared protocols;</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underfunding or unstable coverage: mitigable by earmarking, in primary legislation, a share of certified savings for refinancing the Service;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dispersal of professional capital due to precarious employment and turnover: mitigable through stable contractual models and professional-development pathways.</w:t>
      </w:r>
    </w:p>
    <w:p>
      <w:pPr>
        <w:spacing w:after="150" w:line="276"/>
        <w:jc w:val="both"/>
      </w:pPr>
      <w:r>
        <w:rPr>
          <w:rFonts w:ascii="Cambria" w:cs="Cambria" w:eastAsia="Cambria" w:hAnsi="Cambria"/>
          <w:b w:val="false"/>
          <w:bCs w:val="false"/>
          <w:color w:val="1A1A1A"/>
          <w:sz w:val="22"/>
          <w:szCs w:val="22"/>
        </w:rPr>
        <w:t xml:space="preserve">Each of these risks corresponds, if unaddressed, to the prudent scenario described in Chapters 5 and 6, with the expected economic return halved. The function of governance and monitoring is precisely to keep the programme on the trajectory of the central or expansive scenario.</w:t>
      </w:r>
    </w:p>
    <w:p>
      <w:pPr>
        <w:keepNext/>
        <w:spacing w:after="120" w:before="300" w:line="264"/>
        <w:outlineLvl w:val="1"/>
      </w:pPr>
      <w:r>
        <w:rPr>
          <w:rFonts w:ascii="Calibri" w:cs="Calibri" w:eastAsia="Calibri" w:hAnsi="Calibri"/>
          <w:b/>
          <w:bCs/>
          <w:color w:val="16264B"/>
          <w:sz w:val="30"/>
          <w:szCs w:val="30"/>
        </w:rPr>
        <w:t xml:space="preserve">8.10. Timeline, milestones and implementation funding coverage</w:t>
      </w:r>
    </w:p>
    <w:p>
      <w:pPr>
        <w:spacing w:after="150" w:line="276"/>
        <w:jc w:val="both"/>
      </w:pPr>
      <w:r>
        <w:rPr>
          <w:rFonts w:ascii="Cambria" w:cs="Cambria" w:eastAsia="Cambria" w:hAnsi="Cambria"/>
          <w:b w:val="false"/>
          <w:bCs w:val="false"/>
          <w:color w:val="1A1A1A"/>
          <w:sz w:val="22"/>
          <w:szCs w:val="22"/>
        </w:rPr>
        <w:t xml:space="preserve">The set of choices described translates into a phased timeline, marked by verifiable milestones and linked to the sequence of financial coverage.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Preliminary phase (first six months): adoption of the establishing regulatory act, formation of the steering committee, definition of organisational and clinical standards, design of the information system, and launch of recruitment procedures and initial training.</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Start-up phase (months six to eighteen): activation of the Service with approximately 30% of the complement (240 psychologists) in priority Community Houses, application of the first care pathways, and launch of routine outcome monitoring.</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Extension phase (months eighteen to thirty-six): extension to 60% of the complement (480–500 psychologists), consolidation of integration with general practice and with the Mental Health Centres, and the first in-itinere evaluation.</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Steady-state phase (months thirty-six to sixty): reaching 100% of the complement (800 psychologists), a comprehensive five-year evaluation, and possible approval of the consolidating regional law.</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Stabilisation phase (beyond five years): possible extension to 900 psychologists, ex-post impact evaluation with a counterfactual design, and revision of standards in light of results.</w:t>
      </w:r>
    </w:p>
    <w:p>
      <w:pPr>
        <w:spacing w:after="150" w:line="276"/>
        <w:jc w:val="both"/>
      </w:pPr>
      <w:r>
        <w:rPr>
          <w:rFonts w:ascii="Cambria" w:cs="Cambria" w:eastAsia="Cambria" w:hAnsi="Cambria"/>
          <w:b w:val="false"/>
          <w:bCs w:val="false"/>
          <w:color w:val="1A1A1A"/>
          <w:sz w:val="22"/>
          <w:szCs w:val="22"/>
        </w:rPr>
        <w:t xml:space="preserve">Each phase is associated with milestones measurable through the indicators described in Section 8.8: the level of coverage achieved, the number of people taken into care, clinical-improvement rates, the reduction in inappropriate healthcare consumption, and savings achieved compared with those expected. The achievement of each milestone conditions the transition to the next phase and the activation of the corresponding share of funding coverage.</w:t>
      </w:r>
    </w:p>
    <w:p>
      <w:pPr>
        <w:spacing w:after="150" w:line="276"/>
        <w:jc w:val="both"/>
      </w:pPr>
      <w:r>
        <w:rPr>
          <w:rFonts w:ascii="Cambria" w:cs="Cambria" w:eastAsia="Cambria" w:hAnsi="Cambria"/>
          <w:b w:val="false"/>
          <w:bCs w:val="false"/>
          <w:color w:val="1A1A1A"/>
          <w:sz w:val="22"/>
          <w:szCs w:val="22"/>
        </w:rPr>
        <w:t xml:space="preserve">The sequence of funding coverage follows the savings trajectory documented in Chapters 5, 6 and 7. Since the programme generates a positive net balance from the very first year — between €95 and 135 million under the fiscally prudent reading — the need for net additional resources is concentrated in the preliminary phase alone, while from start-up onward certified savings progressively allow for self-financing and reinvestment. This feature significantly reduces the initial burden on the regional budget and makes the pathway financially sustainable across the entire horizon.</w:t>
      </w:r>
    </w:p>
    <w:p>
      <w:pPr>
        <w:keepNext/>
        <w:spacing w:after="120" w:before="300" w:line="264"/>
        <w:outlineLvl w:val="1"/>
      </w:pPr>
      <w:r>
        <w:rPr>
          <w:rFonts w:ascii="Calibri" w:cs="Calibri" w:eastAsia="Calibri" w:hAnsi="Calibri"/>
          <w:b/>
          <w:bCs/>
          <w:color w:val="16264B"/>
          <w:sz w:val="30"/>
          <w:szCs w:val="30"/>
        </w:rPr>
        <w:t xml:space="preserve">8.11. Conclusions of Chapter 8</w:t>
      </w:r>
    </w:p>
    <w:p>
      <w:pPr>
        <w:spacing w:after="150" w:line="276"/>
        <w:jc w:val="both"/>
      </w:pPr>
      <w:r>
        <w:rPr>
          <w:rFonts w:ascii="Cambria" w:cs="Cambria" w:eastAsia="Cambria" w:hAnsi="Cambria"/>
          <w:b w:val="false"/>
          <w:bCs w:val="false"/>
          <w:color w:val="1A1A1A"/>
          <w:sz w:val="22"/>
          <w:szCs w:val="22"/>
        </w:rPr>
        <w:t xml:space="preserve">Chapters 4 to 7 demonstrated that the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Service in Apulia is economically advantageous; this Chapter has shown that this advantage is realised only through appropriate policy choices, a multilevel governance architecture, and a rigorous system of monitoring and evaluation. Economic return is not an intrinsic property of the intervention, but the result of the quality of its implementation.</w:t>
      </w:r>
    </w:p>
    <w:p>
      <w:pPr>
        <w:spacing w:after="150" w:line="276"/>
        <w:jc w:val="both"/>
      </w:pPr>
      <w:r>
        <w:rPr>
          <w:rFonts w:ascii="Cambria" w:cs="Cambria" w:eastAsia="Cambria" w:hAnsi="Cambria"/>
          <w:b w:val="false"/>
          <w:bCs w:val="false"/>
          <w:color w:val="1A1A1A"/>
          <w:sz w:val="22"/>
          <w:szCs w:val="22"/>
        </w:rPr>
        <w:t xml:space="preserve">The Chapter has proposed a defined implementation pathway: launch through a Regional Executive resolution and a pilot phase; placement within the Community Houses in line with the Decree 77 framework; consolidation through a regional law; a mixed contractual model combining stability and flexibility; governance articulated across the regional, agency and district levels; the consistent adoption of the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model with clear coordination with the Mental Health Centres; the mandatory nature of clinical supervision and routine outcome monitoring; and an impact evaluation with a counterfactual design.</w:t>
      </w:r>
    </w:p>
    <w:p>
      <w:pPr>
        <w:spacing w:after="150" w:line="276"/>
        <w:jc w:val="both"/>
      </w:pPr>
      <w:r>
        <w:rPr>
          <w:rFonts w:ascii="Cambria" w:cs="Cambria" w:eastAsia="Cambria" w:hAnsi="Cambria"/>
          <w:b w:val="false"/>
          <w:bCs w:val="false"/>
          <w:color w:val="1A1A1A"/>
          <w:sz w:val="22"/>
          <w:szCs w:val="22"/>
        </w:rPr>
        <w:t xml:space="preserve">The defining element of the entire architecture is the function of monitoring and evaluation, which transforms the ex-ante estimates of the preceding chapters into verifiable commitments: scenarios become targets, the benefit-cost ratio becomes subject to periodic verification, and the net balance becomes a result to be accounted for. In this way, the analytical solidity of the work translates into public accountability and institutional learning capacity.</w:t>
      </w:r>
    </w:p>
    <w:p>
      <w:pPr>
        <w:spacing w:after="150" w:line="276"/>
        <w:jc w:val="both"/>
      </w:pPr>
      <w:r>
        <w:rPr>
          <w:rFonts w:ascii="Cambria" w:cs="Cambria" w:eastAsia="Cambria" w:hAnsi="Cambria"/>
          <w:b w:val="false"/>
          <w:bCs w:val="false"/>
          <w:color w:val="1A1A1A"/>
          <w:sz w:val="22"/>
          <w:szCs w:val="22"/>
        </w:rPr>
        <w:t xml:space="preserve">This Chapter concludes the arc that, starting from the definition of need and the clinical model, and proceeding through the quantification of costs and benefits, arrives at the design of implementation, governance and evaluation. On this basis, the consequent operational tools can be developed — the implementation manual, the technical annexes for the care pathways, and the technical-financial report accompanying the regulatory act — needed to translate the proposal into a concrete, sustainable and verifiable regional policy.</w:t>
      </w:r>
    </w:p>
    <w:p>
      <w:pPr>
        <w:pStyle w:val="Heading1"/>
      </w:pPr>
      <w:r>
        <w:rPr>
          <w:rFonts w:ascii="Cambria" w:hAnsi="Cambria" w:cs="Cambria" w:eastAsia="Cambria"/>
        </w:rPr>
        <w:t>OVERALL ECONOMIC AND MULTIDISCIPLINARY SUMMARY</w:t>
      </w:r>
    </w:p>
    <w:p>
      <w:r>
        <w:rPr>
          <w:rFonts w:ascii="Cambria" w:hAnsi="Cambria" w:cs="Cambria" w:eastAsia="Cambria"/>
        </w:rPr>
        <w:t>This Overall Summary brings together, in synoptic form, the findings of Chapters I–IV, situating them within the integral, multidisciplinary perspective that informs the entire Study. It never aggregates the fiscal, health and social dimensions into a single net figure, as these remain methodologically distinct, and it preserves the IMPACT caveat regarding the absence of statistical significance of direct healthcare savings in isolation.</w:t>
      </w:r>
    </w:p>
    <w:p>
      <w:pPr>
        <w:pStyle w:val="Heading2"/>
      </w:pPr>
      <w:r>
        <w:rPr>
          <w:rFonts w:ascii="Cambria" w:hAnsi="Cambria" w:cs="Cambria" w:eastAsia="Cambria"/>
        </w:rPr>
        <w:t>The pyramidal cascade of figures and effects</w:t>
      </w:r>
    </w:p>
    <w:p>
      <w:r>
        <w:rPr>
          <w:rFonts w:ascii="Cambria" w:hAnsi="Cambria" w:cs="Cambria" w:eastAsia="Cambria"/>
        </w:rPr>
        <w:t>At the apex of the cascade, the Primary Care Psychologist intercepts common distress at an early stage, reducing the inappropriate use of medication, tests and specialist referrals. Further down, the General Practitioner and the primary care paediatrician benefit from a reduced burden of repeated consultations; specialists in branches with a strong psychosomatic component see a reduction in the diagnostic cascade of exclusion; the Departments and Centres of Mental Health can concentrate on severe and complex disorders; and the social security system, the labour market, schools and the productive fabric register indirect effects on productivity, absenteeism and social cohesion.</w:t>
      </w:r>
    </w:p>
    <w:p>
      <w:r>
        <w:rPr>
          <w:rFonts w:ascii="Cambria" w:hAnsi="Cambria" w:cs="Cambria" w:eastAsia="Cambria"/>
        </w:rPr>
        <w:t>Tab. OS.1 — Summary of dimensional and economic anchors (Chapters I–IV)</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4513"/>
        <w:gridCol w:w="4513"/>
      </w:tblGrid>
      <w:tr>
        <w:tc>
          <w:tcPr>
            <w:tcW w:type="dxa" w:w="4513"/>
            <w:shd w:val="clear" w:color="auto" w:fill="16264B"/>
          </w:tcPr>
          <w:p>
            <w:pPr>
              <w:spacing w:after="40" w:before="40"/>
              <w:jc w:val="left"/>
            </w:pPr>
            <w:r>
              <w:rPr>
                <w:rFonts w:ascii="Cambria" w:hAnsi="Cambria" w:cs="Cambria" w:eastAsia="Cambria"/>
                <w:b/>
                <w:color w:val="FFFFFF"/>
                <w:sz w:val="19"/>
              </w:rPr>
              <w:t>Dimension</w:t>
            </w:r>
          </w:p>
        </w:tc>
        <w:tc>
          <w:tcPr>
            <w:tcW w:type="dxa" w:w="4513"/>
            <w:shd w:val="clear" w:color="auto" w:fill="16264B"/>
          </w:tcPr>
          <w:p>
            <w:pPr>
              <w:spacing w:after="40" w:before="40"/>
              <w:jc w:val="left"/>
            </w:pPr>
            <w:r>
              <w:rPr>
                <w:rFonts w:ascii="Cambria" w:hAnsi="Cambria" w:cs="Cambria" w:eastAsia="Cambria"/>
                <w:b/>
                <w:color w:val="FFFFFF"/>
                <w:sz w:val="19"/>
              </w:rPr>
              <w:t>Reference value</w:t>
            </w:r>
          </w:p>
        </w:tc>
      </w:tr>
      <w:tr>
        <w:tc>
          <w:tcPr>
            <w:tcW w:type="dxa" w:w="4513"/>
          </w:tcPr>
          <w:p>
            <w:pPr>
              <w:spacing w:after="40" w:before="40"/>
              <w:jc w:val="left"/>
            </w:pPr>
            <w:r>
              <w:rPr>
                <w:rFonts w:ascii="Cambria" w:hAnsi="Cambria" w:cs="Cambria" w:eastAsia="Cambria"/>
                <w:sz w:val="19"/>
              </w:rPr>
              <w:t>Resident population</w:t>
            </w:r>
          </w:p>
        </w:tc>
        <w:tc>
          <w:tcPr>
            <w:tcW w:type="dxa" w:w="4513"/>
          </w:tcPr>
          <w:p>
            <w:pPr>
              <w:spacing w:after="40" w:before="40"/>
              <w:jc w:val="left"/>
            </w:pPr>
            <w:r>
              <w:rPr>
                <w:rFonts w:ascii="Cambria" w:hAnsi="Cambria" w:cs="Cambria" w:eastAsia="Cambria"/>
                <w:sz w:val="19"/>
              </w:rPr>
              <w:t>≈3.89 mln (3.23 mln, 2050 proj.)</w:t>
            </w:r>
          </w:p>
        </w:tc>
      </w:tr>
      <w:tr>
        <w:tc>
          <w:tcPr>
            <w:tcW w:type="dxa" w:w="4513"/>
          </w:tcPr>
          <w:p>
            <w:pPr>
              <w:spacing w:after="40" w:before="40"/>
              <w:jc w:val="left"/>
            </w:pPr>
            <w:r>
              <w:rPr>
                <w:rFonts w:ascii="Cambria" w:hAnsi="Cambria" w:cs="Cambria" w:eastAsia="Cambria"/>
                <w:sz w:val="19"/>
              </w:rPr>
              <w:t>Local Health Authorities / districts</w:t>
            </w:r>
          </w:p>
        </w:tc>
        <w:tc>
          <w:tcPr>
            <w:tcW w:type="dxa" w:w="4513"/>
          </w:tcPr>
          <w:p>
            <w:pPr>
              <w:spacing w:after="40" w:before="40"/>
              <w:jc w:val="left"/>
            </w:pPr>
            <w:r>
              <w:rPr>
                <w:rFonts w:ascii="Cambria" w:hAnsi="Cambria" w:cs="Cambria" w:eastAsia="Cambria"/>
                <w:sz w:val="19"/>
              </w:rPr>
              <w:t>6 ASL / 45 districts</w:t>
            </w:r>
          </w:p>
        </w:tc>
      </w:tr>
      <w:tr>
        <w:tc>
          <w:tcPr>
            <w:tcW w:type="dxa" w:w="4513"/>
          </w:tcPr>
          <w:p>
            <w:pPr>
              <w:spacing w:after="40" w:before="40"/>
              <w:jc w:val="left"/>
            </w:pPr>
            <w:r>
              <w:rPr>
                <w:rFonts w:ascii="Cambria" w:hAnsi="Cambria" w:cs="Cambria" w:eastAsia="Cambria"/>
                <w:sz w:val="19"/>
              </w:rPr>
              <w:t>Coverage scenarios</w:t>
            </w:r>
          </w:p>
        </w:tc>
        <w:tc>
          <w:tcPr>
            <w:tcW w:type="dxa" w:w="4513"/>
          </w:tcPr>
          <w:p>
            <w:pPr>
              <w:spacing w:after="40" w:before="40"/>
              <w:jc w:val="left"/>
            </w:pPr>
            <w:r>
              <w:rPr>
                <w:rFonts w:ascii="Cambria" w:hAnsi="Cambria" w:cs="Cambria" w:eastAsia="Cambria"/>
                <w:sz w:val="19"/>
              </w:rPr>
              <w:t>620 / 775-800 / 900 psychologists</w:t>
            </w:r>
          </w:p>
        </w:tc>
      </w:tr>
      <w:tr>
        <w:tc>
          <w:tcPr>
            <w:tcW w:type="dxa" w:w="4513"/>
          </w:tcPr>
          <w:p>
            <w:pPr>
              <w:spacing w:after="40" w:before="40"/>
              <w:jc w:val="left"/>
            </w:pPr>
            <w:r>
              <w:rPr>
                <w:rFonts w:ascii="Cambria" w:hAnsi="Cambria" w:cs="Cambria" w:eastAsia="Cambria"/>
                <w:sz w:val="19"/>
              </w:rPr>
              <w:t>Steady-state cost (standard)</w:t>
            </w:r>
          </w:p>
        </w:tc>
        <w:tc>
          <w:tcPr>
            <w:tcW w:type="dxa" w:w="4513"/>
          </w:tcPr>
          <w:p>
            <w:pPr>
              <w:spacing w:after="40" w:before="40"/>
              <w:jc w:val="left"/>
            </w:pPr>
            <w:r>
              <w:rPr>
                <w:rFonts w:ascii="Cambria" w:hAnsi="Cambria" w:cs="Cambria" w:eastAsia="Cambria"/>
                <w:sz w:val="19"/>
              </w:rPr>
              <w:t>≈€38-41 million/year</w:t>
            </w:r>
          </w:p>
        </w:tc>
      </w:tr>
      <w:tr>
        <w:tc>
          <w:tcPr>
            <w:tcW w:type="dxa" w:w="4513"/>
          </w:tcPr>
          <w:p>
            <w:pPr>
              <w:spacing w:after="40" w:before="40"/>
              <w:jc w:val="left"/>
            </w:pPr>
            <w:r>
              <w:rPr>
                <w:rFonts w:ascii="Cambria" w:hAnsi="Cambria" w:cs="Cambria" w:eastAsia="Cambria"/>
                <w:sz w:val="19"/>
              </w:rPr>
              <w:t>Cost per inhabitant</w:t>
            </w:r>
          </w:p>
        </w:tc>
        <w:tc>
          <w:tcPr>
            <w:tcW w:type="dxa" w:w="4513"/>
          </w:tcPr>
          <w:p>
            <w:pPr>
              <w:spacing w:after="40" w:before="40"/>
              <w:jc w:val="left"/>
            </w:pPr>
            <w:r>
              <w:rPr>
                <w:rFonts w:ascii="Cambria" w:hAnsi="Cambria" w:cs="Cambria" w:eastAsia="Cambria"/>
                <w:sz w:val="19"/>
              </w:rPr>
              <w:t>€10-12/year</w:t>
            </w:r>
          </w:p>
        </w:tc>
      </w:tr>
      <w:tr>
        <w:tc>
          <w:tcPr>
            <w:tcW w:type="dxa" w:w="4513"/>
          </w:tcPr>
          <w:p>
            <w:pPr>
              <w:spacing w:after="40" w:before="40"/>
              <w:jc w:val="left"/>
            </w:pPr>
            <w:r>
              <w:rPr>
                <w:rFonts w:ascii="Cambria" w:hAnsi="Cambria" w:cs="Cambria" w:eastAsia="Cambria"/>
                <w:sz w:val="19"/>
              </w:rPr>
              <w:t>Reference ICER</w:t>
            </w:r>
          </w:p>
        </w:tc>
        <w:tc>
          <w:tcPr>
            <w:tcW w:type="dxa" w:w="4513"/>
          </w:tcPr>
          <w:p>
            <w:pPr>
              <w:spacing w:after="40" w:before="40"/>
              <w:jc w:val="left"/>
            </w:pPr>
            <w:r>
              <w:rPr>
                <w:rFonts w:ascii="Cambria" w:hAnsi="Cambria" w:cs="Cambria" w:eastAsia="Cambria"/>
                <w:sz w:val="19"/>
              </w:rPr>
              <w:t>≈€17,000/QALY</w:t>
            </w:r>
          </w:p>
        </w:tc>
      </w:tr>
      <w:tr>
        <w:tc>
          <w:tcPr>
            <w:tcW w:type="dxa" w:w="4513"/>
          </w:tcPr>
          <w:p>
            <w:pPr>
              <w:spacing w:after="40" w:before="40"/>
              <w:jc w:val="left"/>
            </w:pPr>
            <w:r>
              <w:rPr>
                <w:rFonts w:ascii="Cambria" w:hAnsi="Cambria" w:cs="Cambria" w:eastAsia="Cambria"/>
                <w:sz w:val="19"/>
              </w:rPr>
              <w:t>ROI — economic benefits alone</w:t>
            </w:r>
          </w:p>
        </w:tc>
        <w:tc>
          <w:tcPr>
            <w:tcW w:type="dxa" w:w="4513"/>
          </w:tcPr>
          <w:p>
            <w:pPr>
              <w:spacing w:after="40" w:before="40"/>
              <w:jc w:val="left"/>
            </w:pPr>
            <w:r>
              <w:rPr>
                <w:rFonts w:ascii="Cambria" w:hAnsi="Cambria" w:cs="Cambria" w:eastAsia="Cambria"/>
                <w:sz w:val="19"/>
              </w:rPr>
              <w:t>2.3 to 3.0</w:t>
            </w:r>
          </w:p>
        </w:tc>
      </w:tr>
      <w:tr>
        <w:tc>
          <w:tcPr>
            <w:tcW w:type="dxa" w:w="4513"/>
          </w:tcPr>
          <w:p>
            <w:pPr>
              <w:spacing w:after="40" w:before="40"/>
              <w:jc w:val="left"/>
            </w:pPr>
            <w:r>
              <w:rPr>
                <w:rFonts w:ascii="Cambria" w:hAnsi="Cambria" w:cs="Cambria" w:eastAsia="Cambria"/>
                <w:sz w:val="19"/>
              </w:rPr>
              <w:t>ROI — including health returns</w:t>
            </w:r>
          </w:p>
        </w:tc>
        <w:tc>
          <w:tcPr>
            <w:tcW w:type="dxa" w:w="4513"/>
          </w:tcPr>
          <w:p>
            <w:pPr>
              <w:spacing w:after="40" w:before="40"/>
              <w:jc w:val="left"/>
            </w:pPr>
            <w:r>
              <w:rPr>
                <w:rFonts w:ascii="Cambria" w:hAnsi="Cambria" w:cs="Cambria" w:eastAsia="Cambria"/>
                <w:sz w:val="19"/>
              </w:rPr>
              <w:t>3.3 to 5.7</w:t>
            </w:r>
          </w:p>
        </w:tc>
      </w:tr>
      <w:tr>
        <w:tc>
          <w:tcPr>
            <w:tcW w:type="dxa" w:w="4513"/>
          </w:tcPr>
          <w:p>
            <w:pPr>
              <w:spacing w:after="40" w:before="40"/>
              <w:jc w:val="left"/>
            </w:pPr>
            <w:r>
              <w:rPr>
                <w:rFonts w:ascii="Cambria" w:hAnsi="Cambria" w:cs="Cambria" w:eastAsia="Cambria"/>
                <w:sz w:val="19"/>
              </w:rPr>
              <w:t>Current treatment gap</w:t>
            </w:r>
          </w:p>
        </w:tc>
        <w:tc>
          <w:tcPr>
            <w:tcW w:type="dxa" w:w="4513"/>
          </w:tcPr>
          <w:p>
            <w:pPr>
              <w:spacing w:after="40" w:before="40"/>
              <w:jc w:val="left"/>
            </w:pPr>
            <w:r>
              <w:rPr>
                <w:rFonts w:ascii="Cambria" w:hAnsi="Cambria" w:cs="Cambria" w:eastAsia="Cambria"/>
                <w:sz w:val="19"/>
              </w:rPr>
              <w:t>90-95%</w:t>
            </w:r>
          </w:p>
        </w:tc>
      </w:tr>
    </w:tbl>
    <w:p/>
    <w:p>
      <w:pPr>
        <w:pStyle w:val="Heading2"/>
      </w:pPr>
      <w:r>
        <w:rPr>
          <w:rFonts w:ascii="Cambria" w:hAnsi="Cambria" w:cs="Cambria" w:eastAsia="Cambria"/>
        </w:rPr>
        <w:t>The tripartite verdict</w:t>
      </w:r>
    </w:p>
    <w:p>
      <w:r>
        <w:rPr>
          <w:rFonts w:ascii="Cambria" w:hAnsi="Cambria" w:cs="Cambria" w:eastAsia="Cambria"/>
        </w:rPr>
        <w:t>The multidimensional assessment leads to a tripartite verdict, whose three dimensions are never aggregated into a single net figure. On the fiscal plane, the intervention is close to break-even, with a contained direct cost that is amply compatible with the regional health budget. On the health plane, it is clearly cost-effective, with a reference ICER of approximately €17,000/QALY, well below the willingness-to-pay thresholds adopted by universalist health systems. On the social plane, the impact is strongly positive, in terms of equity of access, reduced inequalities, secondary prevention, and contribution to regional cohesion and productivity.</w:t>
      </w:r>
    </w:p>
    <w:p>
      <w:pPr>
        <w:pStyle w:val="Heading2"/>
      </w:pPr>
      <w:r>
        <w:rPr>
          <w:rFonts w:ascii="Cambria" w:hAnsi="Cambria" w:cs="Cambria" w:eastAsia="Cambria"/>
        </w:rPr>
        <w:t>Invariant methodological constraints</w:t>
      </w:r>
    </w:p>
    <w:p>
      <w:r>
        <w:rPr>
          <w:rFonts w:ascii="Cambria" w:hAnsi="Cambria" w:cs="Cambria" w:eastAsia="Cambria"/>
        </w:rPr>
        <w:t>The entire Summary respects the invariant methodological constraints of the Study: cost-benefit ratios are expressed exclusively as ranges (2.3 to 3.0 for economic benefits alone; 3.3 to 5.7 including health returns); direct fiscal savings and indirect social benefits are never double-counted; the IMPACT caveat regarding the absence of statistical significance of direct savings in isolation is preserved; quantitative projections are formulated as falsifiable bands with rebuttal thresholds; and Artificial Intelligence is positioned as a subordinate enabling lever, under human supervision and European regulatory governance.</w:t>
      </w:r>
    </w:p>
    <w:p>
      <w:pPr>
        <w:pStyle w:val="Heading1"/>
      </w:pPr>
      <w:r>
        <w:rPr>
          <w:rFonts w:ascii="Cambria" w:hAnsi="Cambria" w:cs="Cambria" w:eastAsia="Cambria"/>
        </w:rPr>
        <w:t>CONCLUSION</w:t>
      </w:r>
    </w:p>
    <w:p>
      <w:r>
        <w:rPr>
          <w:rFonts w:ascii="Cambria" w:hAnsi="Cambria" w:cs="Cambria" w:eastAsia="Cambria"/>
        </w:rPr>
        <w:t xml:space="preserve">Chapters I–IV of this Integral Study have demonstrated, through a rigorous and multidisciplinary line of argument, that the establishment of the </w:t>
      </w:r>
      <w:r>
        <w:rPr>
          <w:rFonts w:ascii="Cambria" w:hAnsi="Cambria" w:cs="Cambria" w:eastAsia="Cambria"/>
          <w:i/>
        </w:rPr>
        <w:t>Primary Care Psychology</w:t>
      </w:r>
      <w:r>
        <w:rPr>
          <w:rFonts w:ascii="Cambria" w:hAnsi="Cambria" w:cs="Cambria" w:eastAsia="Cambria"/>
        </w:rPr>
        <w:t xml:space="preserve"> Service in the Apulia Region constitutes an evidence-based, legally grounded and economically sustainable response to a health and social emergency of structural proportions. The constitutional foundation and scientific rationale (Chapter I), the context framework with its 90-95% treatment gap (Chapter II), the multilevel organisational model (Chapter III), and the prudent quantification of direct costs (Chapter IV) converge in a design that is coherent, implementable and evaluable.</w:t>
      </w:r>
    </w:p>
    <w:p>
      <w:r>
        <w:rPr>
          <w:rFonts w:ascii="Cambria" w:hAnsi="Cambria" w:cs="Cambria" w:eastAsia="Cambria"/>
        </w:rPr>
        <w:t>The reform is set within an integral perspective that engages, in a pyramidal cascade, all the professional figures and all the disciplinary domains connected to the Primary Care Psychologist, from health to the economy, from employment to social security, from schools to enterprise. The expected effects unfold across multiple levels — from people's quality of life to regional budgets, from the bureaucracy of health systems to the productivity of the economic fabric — and are predicted in falsifiable and prudential form, in keeping with the invariant methodological constraints of the Study.</w:t>
      </w:r>
    </w:p>
    <w:p>
      <w:r>
        <w:rPr>
          <w:rFonts w:ascii="Cambria" w:hAnsi="Cambria" w:cs="Cambria" w:eastAsia="Cambria"/>
        </w:rPr>
        <w:t xml:space="preserve">Chapters 5–8, dedicated to direct savings, indirect savings, the overall economic balance, and policy and governance options, complete the quantitative picture set out in the chapters that follow. Even on the basis of Chapters I–IV alone, however, it can already be affirmed that Apulia has the historic opportunity to become the first Italian region to systematically implement a universal, integrated </w:t>
      </w:r>
      <w:r>
        <w:rPr>
          <w:rFonts w:ascii="Cambria" w:hAnsi="Cambria" w:cs="Cambria" w:eastAsia="Cambria"/>
          <w:i/>
        </w:rPr>
        <w:t>Primary Care Psychology</w:t>
      </w:r>
      <w:r>
        <w:rPr>
          <w:rFonts w:ascii="Cambria" w:hAnsi="Cambria" w:cs="Cambria" w:eastAsia="Cambria"/>
        </w:rPr>
        <w:t xml:space="preserve"> Service, positioning itself at the European forefront and providing a replicable model for other regions and Mediterranean health systems.</w:t>
      </w:r>
    </w:p>
    <w:p>
      <w:pPr>
        <w:pStyle w:val="Heading1"/>
      </w:pPr>
      <w:r>
        <w:rPr>
          <w:rFonts w:ascii="Cambria" w:hAnsi="Cambria" w:cs="Cambria" w:eastAsia="Cambria"/>
        </w:rPr>
        <w:t>INTEGRAL BIBLIOGRAPHIC NOTES</w:t>
      </w:r>
    </w:p>
    <w:p>
      <w:r>
        <w:rPr>
          <w:rFonts w:ascii="Cambria" w:hAnsi="Cambria" w:cs="Cambria" w:eastAsia="Cambria"/>
        </w:rPr>
        <w:t>The notes that follow collect the sources cited in Chapters I–IV. For each entry a brief summary of its content and its relevance to the Study is provided, together with the name of the source and an indication of the place of publication.</w:t>
      </w:r>
    </w:p>
    <w:p>
      <w:r>
        <w:rPr>
          <w:rFonts w:ascii="Cambria" w:hAnsi="Cambria" w:cs="Cambria" w:eastAsia="Cambria"/>
        </w:rPr>
        <w:t>[1] Constitution of the Italian Republic, Art. 32 — Enshrines the protection of health as a fundamental right of the individual and a collective interest. Primary foundation of the regulatory intervention, interpreted in a holistic sense encompassing psychological well-being.</w:t>
      </w:r>
    </w:p>
    <w:p>
      <w:r>
        <w:rPr>
          <w:rFonts w:ascii="Cambria" w:hAnsi="Cambria" w:cs="Cambria" w:eastAsia="Cambria"/>
        </w:rPr>
        <w:t>[2] WHO — Constitution &amp; Mental Health Atlas 2024 — Defines health as a state of complete physical, mental and social well-being; documents mental disorders as the second leading cause of long-term disability and the gap in access to care. Epidemiological and economic basis of the Study.</w:t>
      </w:r>
    </w:p>
    <w:p>
      <w:r>
        <w:rPr>
          <w:rFonts w:ascii="Cambria" w:hAnsi="Cambria" w:cs="Cambria" w:eastAsia="Cambria"/>
        </w:rPr>
        <w:t>[3] European Commission — 2024 Report on Mental Health — Finds that almost one in two young Europeans does not receive adequate support and that only half of those with anxiety or depression seek help. Highlights the structural gap in access to care.</w:t>
      </w:r>
    </w:p>
    <w:p>
      <w:r>
        <w:rPr>
          <w:rFonts w:ascii="Cambria" w:hAnsi="Cambria" w:cs="Cambria" w:eastAsia="Cambria"/>
        </w:rPr>
        <w:t>[4] Social Science &amp; Medicine; Journal of Epidemiology and Community Health — Longitudinal studies documenting a relative risk of 2.3 for common mental disorders among populations facing severe deprivation, with a dose-response gradient. Establish the link between socioeconomic determinants and mental health.</w:t>
      </w:r>
    </w:p>
    <w:p>
      <w:r>
        <w:rPr>
          <w:rFonts w:ascii="Cambria" w:hAnsi="Cambria" w:cs="Cambria" w:eastAsia="Cambria"/>
        </w:rPr>
        <w:t>[5] OECD Health at a Glance Europe 2018; WHO mental health expenditure standard — Document the 5% standard for health expenditure allocated to mental health and the European average of 5-6%. Basis for calculating Apulia's under-investment (gap ≈€142 million).</w:t>
      </w:r>
    </w:p>
    <w:p>
      <w:r>
        <w:rPr>
          <w:rFonts w:ascii="Cambria" w:hAnsi="Cambria" w:cs="Cambria" w:eastAsia="Cambria"/>
        </w:rPr>
        <w:t xml:space="preserve">[6] Archer et al., PLOS ONE — </w:t>
      </w:r>
      <w:r>
        <w:rPr>
          <w:rFonts w:ascii="Cambria" w:hAnsi="Cambria" w:cs="Cambria" w:eastAsia="Cambria"/>
          <w:i/>
        </w:rPr>
        <w:t>collaborative care</w:t>
      </w:r>
      <w:r>
        <w:rPr>
          <w:rFonts w:ascii="Cambria" w:hAnsi="Cambria" w:cs="Cambria" w:eastAsia="Cambria"/>
        </w:rPr>
        <w:t xml:space="preserve"> meta-analysis — Analysis of 74 randomised controlled trials: improvement in depressive symptoms (beta −0.11; 95% CI −0.20/−0.01; p=0.03). Cornerstone evidence for the effectiveness of integration.</w:t>
      </w:r>
    </w:p>
    <w:p>
      <w:r>
        <w:rPr>
          <w:rFonts w:ascii="Cambria" w:hAnsi="Cambria" w:cs="Cambria" w:eastAsia="Cambria"/>
        </w:rPr>
        <w:t>[7] British Journal of Psychiatry — IAPT economic analysis — Documents a cost-effectiveness ratio of £16,857/QALY, below the NICE threshold of £30,000. Basis of the cost-effectiveness profile.</w:t>
      </w:r>
    </w:p>
    <w:p>
      <w:r>
        <w:rPr>
          <w:rFonts w:ascii="Cambria" w:hAnsi="Cambria" w:cs="Cambria" w:eastAsia="Cambria"/>
        </w:rPr>
        <w:t xml:space="preserve">[8] </w:t>
      </w:r>
      <w:r>
        <w:rPr>
          <w:rFonts w:ascii="Cambria" w:hAnsi="Cambria" w:cs="Cambria" w:eastAsia="Cambria"/>
          <w:i/>
        </w:rPr>
        <w:t>Collaborative Care</w:t>
      </w:r>
      <w:r>
        <w:rPr>
          <w:rFonts w:ascii="Cambria" w:hAnsi="Cambria" w:cs="Cambria" w:eastAsia="Cambria"/>
        </w:rPr>
        <w:t xml:space="preserve"> Model — &gt;90 RCTs (Univ. of Washington) — Leading evidence-based paradigm for the integration of mental health into primary care, validated across diverse healthcare contexts.</w:t>
      </w:r>
    </w:p>
    <w:p>
      <w:r>
        <w:rPr>
          <w:rFonts w:ascii="Cambria" w:hAnsi="Cambria" w:cs="Cambria" w:eastAsia="Cambria"/>
        </w:rPr>
        <w:t>[9] Chisholm et al., The Lancet Psychiatry 2016 — Sole source of the cost-benefit ratio ranges adopted in the Study: 2.3 to 3.0 (economic benefits alone) and 3.3 to 5.7 (including health returns). Invariant methodological constraint.</w:t>
      </w:r>
    </w:p>
    <w:p>
      <w:r>
        <w:rPr>
          <w:rFonts w:ascii="Cambria" w:hAnsi="Cambria" w:cs="Cambria" w:eastAsia="Cambria"/>
        </w:rPr>
        <w:t>[10] JAMA Psychiatry — indicated prevention — Meta-analysis: brief interventions of 6-8 sessions reduce the incidence of major depression by 21% (RR 0.79) and of anxiety disorders by 19% (RR 0.81). Rationale for secondary prevention.</w:t>
      </w:r>
    </w:p>
    <w:p>
      <w:r>
        <w:rPr>
          <w:rFonts w:ascii="Cambria" w:hAnsi="Cambria" w:cs="Cambria" w:eastAsia="Cambria"/>
        </w:rPr>
        <w:t>[11] WHO — global cost estimate of mental disorders — Depression and anxiety cost the global economy approximately US$1 trillion per year, predominantly through lost productivity. Basis of the economic dimension.</w:t>
      </w:r>
    </w:p>
    <w:p>
      <w:r>
        <w:rPr>
          <w:rFonts w:ascii="Cambria" w:hAnsi="Cambria" w:cs="Cambria" w:eastAsia="Cambria"/>
        </w:rPr>
        <w:t>[12] Ministerial Decree 77/2022; PNRR Mission 6 — Define the organisational standards for territorial care (Community Houses, Community Hospitals, Territorial Operations Centres). Regulatory framework of the intervention.</w:t>
      </w:r>
    </w:p>
    <w:p>
      <w:r>
        <w:rPr>
          <w:rFonts w:ascii="Cambria" w:hAnsi="Cambria" w:cs="Cambria" w:eastAsia="Cambria"/>
        </w:rPr>
        <w:t>[13] ISTAT — Permanent Census and Demographic Indicators 2024-2025 — Source of Apulian demographic data: population, median age, ageing index, projections to 2030 and 2050. Dimensional anchor of the Study.</w:t>
      </w:r>
    </w:p>
    <w:p>
      <w:r>
        <w:rPr>
          <w:rFonts w:ascii="Cambria" w:hAnsi="Cambria" w:cs="Cambria" w:eastAsia="Cambria"/>
        </w:rPr>
        <w:t>[14] The Lancet Psychiatry — prevalence of depression among older people — Meta-analysis of 174 studies across 59 countries: prevalence of major depression among those over 65 between 10-15%, rising to 25-30% with multimorbidity.</w:t>
      </w:r>
    </w:p>
    <w:p>
      <w:r>
        <w:rPr>
          <w:rFonts w:ascii="Cambria" w:hAnsi="Cambria" w:cs="Cambria" w:eastAsia="Cambria"/>
        </w:rPr>
        <w:t>[15] Khaledi et al., Acta Diabetologica 2019; Martens et al. 2010; Zhang et al. 2011 — Document psychiatric comorbidity in chronic conditions: 28% depression in type 2 diabetes; +50% cardiovascular adverse events; 25-40% anxiety/depression in COPD.</w:t>
      </w:r>
    </w:p>
    <w:p>
      <w:r>
        <w:rPr>
          <w:rFonts w:ascii="Cambria" w:hAnsi="Cambria" w:cs="Cambria" w:eastAsia="Cambria"/>
        </w:rPr>
        <w:t>[16] SISM 2023 Report — Ministry of Health — Data on users in care with Apulian Departments of Mental Health (54,946 users; 18,939 new) and on staffing (170 psychologists). Basis of the treatment gap.</w:t>
      </w:r>
    </w:p>
    <w:p>
      <w:r>
        <w:rPr>
          <w:rFonts w:ascii="Cambria" w:hAnsi="Cambria" w:cs="Cambria" w:eastAsia="Cambria"/>
        </w:rPr>
        <w:t>[17] Motore Sanità — Bari Mental Health Laboratory 2025 — Documents Emergency Department visits for psychiatric causes (18,753 in 2023; +30% compared with the pre-pandemic period) and territorial services delivered.</w:t>
      </w:r>
    </w:p>
    <w:p>
      <w:r>
        <w:rPr>
          <w:rFonts w:ascii="Cambria" w:hAnsi="Cambria" w:cs="Cambria" w:eastAsia="Cambria"/>
        </w:rPr>
        <w:t>[18] Mental Health Report 2021-2022 (SISM/SIEP) — Documents mental health expenditure equal to 3% of the National Health Fund and a per capita cost of €67-70. Basis for quantifying Apulian psychiatric expenditure (≈€285 million).</w:t>
      </w:r>
    </w:p>
    <w:p>
      <w:r>
        <w:rPr>
          <w:rFonts w:ascii="Cambria" w:hAnsi="Cambria" w:cs="Cambria" w:eastAsia="Cambria"/>
        </w:rPr>
        <w:t>[19] ISTAT — 2024 SDGs Report and Poverty in Italy — Source of the AROPE indicator (37.7% in Apulia) and of data on absolute poverty, material deprivation and in-work poverty. Basis of the socioeconomic determinants.</w:t>
      </w:r>
    </w:p>
    <w:p>
      <w:r>
        <w:rPr>
          <w:rFonts w:ascii="Cambria" w:hAnsi="Cambria" w:cs="Cambria" w:eastAsia="Cambria"/>
        </w:rPr>
        <w:t>[20] ISTAT — 2024 Labour Market Indicators — Data on unemployment (9.3%), youth unemployment (32%) and NEET status (21.4%) in Apulia. Basis of the analysis of labour-related determinants.</w:t>
      </w:r>
    </w:p>
    <w:p>
      <w:r>
        <w:rPr>
          <w:rFonts w:ascii="Cambria" w:hAnsi="Cambria" w:cs="Cambria" w:eastAsia="Cambria"/>
        </w:rPr>
        <w:t>[21] Reibling et al., European Journal of Public Health 2017 — Documents that every 1% increase in the unemployment rate is associated with a significant increase in depressive symptoms, with marked effects in southern Europe.</w:t>
      </w:r>
    </w:p>
    <w:p>
      <w:r>
        <w:rPr>
          <w:rFonts w:ascii="Cambria" w:hAnsi="Cambria" w:cs="Cambria" w:eastAsia="Cambria"/>
        </w:rPr>
        <w:t>[22] WHO — Social Determinants of Mental Health 2014 — Identifies nine core social factors determining mental health. Grounds the calculation of the population attributable risk (PAR ≈32.7%).</w:t>
      </w:r>
    </w:p>
    <w:p>
      <w:r>
        <w:rPr>
          <w:rFonts w:ascii="Cambria" w:hAnsi="Cambria" w:cs="Cambria" w:eastAsia="Cambria"/>
        </w:rPr>
        <w:t>[23] Court of Auditors; General Accounting Office of the State — Data on national and regional public health expenditure and on budget constraints. Context for financial sustainability.</w:t>
      </w:r>
    </w:p>
    <w:p>
      <w:r>
        <w:rPr>
          <w:rFonts w:ascii="Cambria" w:hAnsi="Cambria" w:cs="Cambria" w:eastAsia="Cambria"/>
        </w:rPr>
        <w:t>[24] NHS England Digital — IAPT Annual Report 2023-2024 — Documents more than 1.3 million people treated, 51% recovery, 67% reliable improvement, &gt;98% data completeness. Principal operational reference.</w:t>
      </w:r>
    </w:p>
    <w:p>
      <w:r>
        <w:rPr>
          <w:rFonts w:ascii="Cambria" w:hAnsi="Cambria" w:cs="Cambria" w:eastAsia="Cambria"/>
        </w:rPr>
        <w:t>[25] Ministerial Decree 77/2022 (territorial standards) — Defines Hub/Spoke Community Houses, Community Hospitals and Territorial Operations Centres. Framework of the organisational model.</w:t>
      </w:r>
    </w:p>
    <w:p>
      <w:r>
        <w:rPr>
          <w:rFonts w:ascii="Cambria" w:hAnsi="Cambria" w:cs="Cambria" w:eastAsia="Cambria"/>
        </w:rPr>
        <w:t>[26] Archer et al., PLOS ONE 2023 — Confirms, across 74 RCTs (&gt;20,000 participants), the effectiveness of evidence-based primary and secondary prevention in primary care.</w:t>
      </w:r>
    </w:p>
    <w:p>
      <w:r>
        <w:rPr>
          <w:rFonts w:ascii="Cambria" w:hAnsi="Cambria" w:cs="Cambria" w:eastAsia="Cambria"/>
        </w:rPr>
        <w:t>[27] Nederlandse Zorgautoriteit; Trimbos Instituut — POH-GGZ — Document coverage of 87% of Dutch general practices and 1.54 million citizens reached in 2024. European reference for appropriateness.</w:t>
      </w:r>
    </w:p>
    <w:p>
      <w:r>
        <w:rPr>
          <w:rFonts w:ascii="Cambria" w:hAnsi="Cambria" w:cs="Cambria" w:eastAsia="Cambria"/>
        </w:rPr>
        <w:t xml:space="preserve">[28] Cochrane Database of Systematic Reviews 2024 — Meta-analysis of 79 trials (24,308 participants): standardised mean difference −0.28 on depressive outcomes, effects lasting up to two years. Confirms the effectiveness of </w:t>
      </w:r>
      <w:r>
        <w:rPr>
          <w:rFonts w:ascii="Cambria" w:hAnsi="Cambria" w:cs="Cambria" w:eastAsia="Cambria"/>
          <w:i/>
        </w:rPr>
        <w:t>collaborative care</w:t>
      </w:r>
      <w:r>
        <w:rPr>
          <w:rFonts w:ascii="Cambria" w:hAnsi="Cambria" w:cs="Cambria" w:eastAsia="Cambria"/>
        </w:rPr>
        <w:t>.</w:t>
      </w:r>
    </w:p>
    <w:p>
      <w:r>
        <w:rPr>
          <w:rFonts w:ascii="Cambria" w:hAnsi="Cambria" w:cs="Cambria" w:eastAsia="Cambria"/>
        </w:rPr>
        <w:t>[29] IAPT economic analyses — £13,069/QALY — Document an ICER of £13,069/QALY with a 92% probability of cost-effectiveness at the NICE threshold. Basis of the model's economic sustainability.</w:t>
      </w:r>
    </w:p>
    <w:p>
      <w:r>
        <w:rPr>
          <w:rFonts w:ascii="Cambria" w:hAnsi="Cambria" w:cs="Cambria" w:eastAsia="Cambria"/>
        </w:rPr>
        <w:t>[30] IMPACT trial — methodological caveat — Highlights that direct healthcare savings are not statistically significant in isolation. Invariant caveat preserved throughout the Study.</w:t>
      </w:r>
    </w:p>
    <w:p>
      <w:r>
        <w:rPr>
          <w:rFonts w:ascii="Cambria" w:hAnsi="Cambria" w:cs="Cambria" w:eastAsia="Cambria"/>
        </w:rPr>
        <w:t>[31] Ministerial Decree 77/2022; regional governance — Grounds the articulation of multilevel governance (Regional Coordination and district level). Organisational framework.</w:t>
      </w:r>
    </w:p>
    <w:p>
      <w:r>
        <w:rPr>
          <w:rFonts w:ascii="Cambria" w:hAnsi="Cambria" w:cs="Cambria" w:eastAsia="Cambria"/>
        </w:rPr>
        <w:t>[32] NHS England Digital — IAPT workforce — Documents 13,779 FTE staff for 56 million inhabitants (1 per 5,224). Basis of the workforce-sizing parameters.</w:t>
      </w:r>
    </w:p>
    <w:p>
      <w:r>
        <w:rPr>
          <w:rFonts w:ascii="Cambria" w:hAnsi="Cambria" w:cs="Cambria" w:eastAsia="Cambria"/>
        </w:rPr>
        <w:t>[33] National healthcare collective labour agreement (CCNL); outpatient specialist national agreement (ACN); ISTAT; INPS — Sources of the pay and demographic parameters used in the bottom-up construction of the cost per post (≈€55,000). Basis for quantifying direct costs.</w:t>
      </w:r>
    </w:p>
    <w:p>
      <w:r>
        <w:rPr>
          <w:rFonts w:ascii="Cambria" w:hAnsi="Cambria" w:cs="Cambria" w:eastAsia="Cambria"/>
        </w:rPr>
        <w:t>[34] Technical-financial report — cost per post — Documents the construction of the cost per post and the comparison with the current situation (45 posts, €1.5 million). Foundation of the economic quantification.</w:t>
      </w:r>
    </w:p>
    <w:p>
      <w:r>
        <w:rPr>
          <w:rFonts w:ascii="Cambria" w:hAnsi="Cambria" w:cs="Cambria" w:eastAsia="Cambria"/>
        </w:rPr>
        <w:t>[35] Technical-financial report — cost by scenario — Reconciles costs by scenario (≈€25 / ≈€38 / ≈€50 million) with the single consolidated table. Basis of the staffing scenarios.</w:t>
      </w:r>
    </w:p>
    <w:p>
      <w:r>
        <w:rPr>
          <w:rFonts w:ascii="Cambria" w:hAnsi="Cambria" w:cs="Cambria" w:eastAsia="Cambria"/>
        </w:rPr>
        <w:t>[36] Cost-Benefit and Budget Impact Model — Apulia — Documents the steady-state direct cost (€38-41 million) and its breakdown by item. Basis of the expenditure profile.</w:t>
      </w:r>
    </w:p>
    <w:p>
      <w:r>
        <w:rPr>
          <w:rFonts w:ascii="Cambria" w:hAnsi="Cambria" w:cs="Cambria" w:eastAsia="Cambria"/>
        </w:rPr>
        <w:t>[37] Collaborative care best practices — joint training — Ground the dedicated budget of €1 million/year for joint GP-Psychologist-Mental Health Centre training, consistent with international best practice.</w:t>
      </w:r>
    </w:p>
    <w:p>
      <w:r>
        <w:rPr>
          <w:rFonts w:ascii="Cambria" w:hAnsi="Cambria" w:cs="Cambria" w:eastAsia="Cambria"/>
        </w:rPr>
        <w:t>[38] Technical-financial report — coverage — Documents the sources of funding (Regional Health Service, PNRR, national mental health funds, reinvestment of savings, cross-sectoral agreements). Basis of sustainability.</w:t>
      </w:r>
    </w:p>
    <w:sectPr>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8" w:color="C9CDD6"/>
      </w:pBdr>
      <w:jc w:val="center"/>
    </w:pPr>
    <w:r>
      <w:rPr>
        <w:rFonts w:ascii="Calibri" w:hAnsi="Calibri" w:cs="Calibri" w:eastAsia="Calibri"/>
        <w:color w:val="6B7280"/>
        <w:sz w:val="16"/>
      </w:rPr>
      <w:t xml:space="preserve">Primary Care Psychology Service in Apulia  ·  </w:t>
    </w:r>
    <w:r>
      <w:rPr>
        <w:rFonts w:ascii="Calibri" w:hAnsi="Calibri" w:cs="Calibri" w:eastAsia="Calibri"/>
        <w:color w:val="6B7280"/>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rFonts w:ascii="Cambria" w:hAnsi="Cambria" w:cs="Cambria" w:eastAsia="Cambria"/>
          <w:sz w:val="18"/>
        </w:rPr>
        <w:t xml:space="preserve"> Art. 32 of the Italian Constitution: «The Republic safeguards health as a fundamental right of the individual and a collective interest». Holistic conception encompassing psychological well-being.</w:t>
      </w:r>
    </w:p>
  </w:footnote>
  <w:footnote w:id="2">
    <w:p>
      <w:pPr>
        <w:pStyle w:val="FootnoteText"/>
      </w:pPr>
      <w:r>
        <w:rPr>
          <w:rStyle w:val="FootnoteReference"/>
        </w:rPr>
        <w:footnoteRef/>
      </w:r>
      <w:r>
        <w:rPr>
          <w:rFonts w:ascii="Cambria" w:hAnsi="Cambria" w:cs="Cambria" w:eastAsia="Cambria"/>
          <w:sz w:val="18"/>
        </w:rPr>
        <w:t xml:space="preserve"> WHO, Constitution (1946) and Mental Health Atlas 2024. Health is defined as a state of complete physical, mental and social well-being.</w:t>
      </w:r>
    </w:p>
  </w:footnote>
  <w:footnote w:id="3">
    <w:p>
      <w:pPr>
        <w:pStyle w:val="FootnoteText"/>
      </w:pPr>
      <w:r>
        <w:rPr>
          <w:rStyle w:val="FootnoteReference"/>
        </w:rPr>
        <w:footnoteRef/>
      </w:r>
      <w:r>
        <w:rPr>
          <w:rFonts w:ascii="Cambria" w:hAnsi="Cambria" w:cs="Cambria" w:eastAsia="Cambria"/>
          <w:sz w:val="18"/>
        </w:rPr>
        <w:t xml:space="preserve"> EU Charter of Fundamental Rights, European Pillar of Social Rights, European Commission, 2024 Report on Mental Health.</w:t>
      </w:r>
    </w:p>
  </w:footnote>
  <w:footnote w:id="4">
    <w:p>
      <w:pPr>
        <w:pStyle w:val="FootnoteText"/>
      </w:pPr>
      <w:r>
        <w:rPr>
          <w:rStyle w:val="FootnoteReference"/>
        </w:rPr>
        <w:footnoteRef/>
      </w:r>
      <w:r>
        <w:rPr>
          <w:rFonts w:ascii="Cambria" w:hAnsi="Cambria" w:cs="Cambria" w:eastAsia="Cambria"/>
          <w:sz w:val="18"/>
        </w:rPr>
        <w:t xml:space="preserve"> Longitudinal studies in Social Science &amp; Medicine and the Journal of Epidemiology and Community Health: RR 2.3 for common mental disorders under severe deprivation.</w:t>
      </w:r>
    </w:p>
  </w:footnote>
  <w:footnote w:id="5">
    <w:p>
      <w:pPr>
        <w:pStyle w:val="FootnoteText"/>
      </w:pPr>
      <w:r>
        <w:rPr>
          <w:rStyle w:val="FootnoteReference"/>
        </w:rPr>
        <w:footnoteRef/>
      </w:r>
      <w:r>
        <w:rPr>
          <w:rFonts w:ascii="Cambria" w:hAnsi="Cambria" w:cs="Cambria" w:eastAsia="Cambria"/>
          <w:sz w:val="18"/>
        </w:rPr>
        <w:t xml:space="preserve"> WHO standard: minimum 5% of health expenditure allocated to mental health; northern Europe 10-12%. Apulia: 3.3%. Psychologist staffing standard: 18/100,000 optimal, 10 minimum.</w:t>
      </w:r>
    </w:p>
  </w:footnote>
  <w:footnote w:id="6">
    <w:p>
      <w:pPr>
        <w:pStyle w:val="FootnoteText"/>
      </w:pPr>
      <w:r>
        <w:rPr>
          <w:rStyle w:val="FootnoteReference"/>
        </w:rPr>
        <w:footnoteRef/>
      </w:r>
      <w:r>
        <w:rPr>
          <w:rFonts w:ascii="Cambria" w:hAnsi="Cambria" w:cs="Cambria" w:eastAsia="Cambria"/>
          <w:sz w:val="18"/>
        </w:rPr>
        <w:t xml:space="preserve"> Archer J. et al., meta-analysis in PLOS ONE: 74 RCTs of the collaborative care model; beta −0.11 (95% CI −0.20/−0.01; p=0.03).</w:t>
      </w:r>
    </w:p>
  </w:footnote>
  <w:footnote w:id="7">
    <w:p>
      <w:pPr>
        <w:pStyle w:val="FootnoteText"/>
      </w:pPr>
      <w:r>
        <w:rPr>
          <w:rStyle w:val="FootnoteReference"/>
        </w:rPr>
        <w:footnoteRef/>
      </w:r>
      <w:r>
        <w:rPr>
          <w:rFonts w:ascii="Cambria" w:hAnsi="Cambria" w:cs="Cambria" w:eastAsia="Cambria"/>
          <w:sz w:val="18"/>
        </w:rPr>
        <w:t xml:space="preserve"> British Journal of Psychiatry, IAPT economic analysis: £16,857/QALY, below the NICE threshold of £30,000.</w:t>
      </w:r>
    </w:p>
  </w:footnote>
  <w:footnote w:id="8">
    <w:p>
      <w:pPr>
        <w:pStyle w:val="FootnoteText"/>
      </w:pPr>
      <w:r>
        <w:rPr>
          <w:rStyle w:val="FootnoteReference"/>
        </w:rPr>
        <w:footnoteRef/>
      </w:r>
      <w:r>
        <w:rPr>
          <w:rFonts w:ascii="Cambria" w:hAnsi="Cambria" w:cs="Cambria" w:eastAsia="Cambria"/>
          <w:sz w:val="18"/>
        </w:rPr>
        <w:t xml:space="preserve"> Collaborative Care Model, University of Washington, validated through more than 90 randomised controlled trials.</w:t>
      </w:r>
    </w:p>
  </w:footnote>
  <w:footnote w:id="9">
    <w:p>
      <w:pPr>
        <w:pStyle w:val="FootnoteText"/>
      </w:pPr>
      <w:r>
        <w:rPr>
          <w:rStyle w:val="FootnoteReference"/>
        </w:rPr>
        <w:footnoteRef/>
      </w:r>
      <w:r>
        <w:rPr>
          <w:rFonts w:ascii="Cambria" w:hAnsi="Cambria" w:cs="Cambria" w:eastAsia="Cambria"/>
          <w:sz w:val="18"/>
        </w:rPr>
        <w:t xml:space="preserve"> Chisholm D. et al., The Lancet Psychiatry 2016. Cost-benefit ratio ranges adopted invariantly throughout this Study: 2.3 to 3.0 (economic benefits alone); 3.3 to 5.7 (including health returns).</w:t>
      </w:r>
    </w:p>
  </w:footnote>
  <w:footnote w:id="10">
    <w:p>
      <w:pPr>
        <w:pStyle w:val="FootnoteText"/>
      </w:pPr>
      <w:r>
        <w:rPr>
          <w:rStyle w:val="FootnoteReference"/>
        </w:rPr>
        <w:footnoteRef/>
      </w:r>
      <w:r>
        <w:rPr>
          <w:rFonts w:ascii="Cambria" w:hAnsi="Cambria" w:cs="Cambria" w:eastAsia="Cambria"/>
          <w:sz w:val="18"/>
        </w:rPr>
        <w:t xml:space="preserve"> Meta-analysis in JAMA Psychiatry: brief interventions of 6-8 sessions reduce major depression by 21% (RR 0.79) and anxiety by 19% (RR 0.81) at 12 months.</w:t>
      </w:r>
    </w:p>
  </w:footnote>
  <w:footnote w:id="11">
    <w:p>
      <w:pPr>
        <w:pStyle w:val="FootnoteText"/>
      </w:pPr>
      <w:r>
        <w:rPr>
          <w:rStyle w:val="FootnoteReference"/>
        </w:rPr>
        <w:footnoteRef/>
      </w:r>
      <w:r>
        <w:rPr>
          <w:rFonts w:ascii="Cambria" w:hAnsi="Cambria" w:cs="Cambria" w:eastAsia="Cambria"/>
          <w:sz w:val="18"/>
        </w:rPr>
        <w:t xml:space="preserve"> WHO: depression and anxiety cost the global economy approximately US$1 trillion per year, predominantly through lost productivity.</w:t>
      </w:r>
    </w:p>
  </w:footnote>
  <w:footnote w:id="12">
    <w:p>
      <w:pPr>
        <w:pStyle w:val="FootnoteText"/>
      </w:pPr>
      <w:r>
        <w:rPr>
          <w:rStyle w:val="FootnoteReference"/>
        </w:rPr>
        <w:footnoteRef/>
      </w:r>
      <w:r>
        <w:rPr>
          <w:rFonts w:ascii="Cambria" w:hAnsi="Cambria" w:cs="Cambria" w:eastAsia="Cambria"/>
          <w:sz w:val="18"/>
        </w:rPr>
        <w:t xml:space="preserve"> Ministerial Decree 77/2022 and Mission 6 of the National Recovery and Resilience Plan (PNRR). Optimal ratio: 1 psychologist per 4-5 general practitioners.</w:t>
      </w:r>
    </w:p>
  </w:footnote>
  <w:footnote w:id="13">
    <w:p>
      <w:pPr>
        <w:pStyle w:val="FootnoteText"/>
      </w:pPr>
      <w:r>
        <w:rPr>
          <w:rStyle w:val="FootnoteReference"/>
        </w:rPr>
        <w:footnoteRef/>
      </w:r>
      <w:r>
        <w:rPr>
          <w:rFonts w:ascii="Cambria" w:hAnsi="Cambria" w:cs="Cambria" w:eastAsia="Cambria"/>
          <w:sz w:val="18"/>
        </w:rPr>
        <w:t xml:space="preserve"> ISTAT, Permanent Population Census (April 2025) and Demographic Indicators (31 March 2025).</w:t>
      </w:r>
    </w:p>
  </w:footnote>
  <w:footnote w:id="14">
    <w:p>
      <w:pPr>
        <w:pStyle w:val="FootnoteText"/>
      </w:pPr>
      <w:r>
        <w:rPr>
          <w:rStyle w:val="FootnoteReference"/>
        </w:rPr>
        <w:footnoteRef/>
      </w:r>
      <w:r>
        <w:rPr>
          <w:rFonts w:ascii="Cambria" w:hAnsi="Cambria" w:cs="Cambria" w:eastAsia="Cambria"/>
          <w:sz w:val="18"/>
        </w:rPr>
        <w:t xml:space="preserve"> Meta-analysis in The Lancet Psychiatry: 174 studies across 59 countries, more than 1 million individuals. Prevalence of depression over age 65: 10-15%, rising to 25-30% with multiple chronic conditions.</w:t>
      </w:r>
    </w:p>
  </w:footnote>
  <w:footnote w:id="15">
    <w:p>
      <w:pPr>
        <w:pStyle w:val="FootnoteText"/>
      </w:pPr>
      <w:r>
        <w:rPr>
          <w:rStyle w:val="FootnoteReference"/>
        </w:rPr>
        <w:footnoteRef/>
      </w:r>
      <w:r>
        <w:rPr>
          <w:rFonts w:ascii="Cambria" w:hAnsi="Cambria" w:cs="Cambria" w:eastAsia="Cambria"/>
          <w:sz w:val="18"/>
        </w:rPr>
        <w:t xml:space="preserve"> Khaledi et al., Acta Diabetologica 2019 (248 studies); Volkert et al., World Psychiatry 2013; Martens et al. 2010; Zhang et al. 2011.</w:t>
      </w:r>
    </w:p>
  </w:footnote>
  <w:footnote w:id="16">
    <w:p>
      <w:pPr>
        <w:pStyle w:val="FootnoteText"/>
      </w:pPr>
      <w:r>
        <w:rPr>
          <w:rStyle w:val="FootnoteReference"/>
        </w:rPr>
        <w:footnoteRef/>
      </w:r>
      <w:r>
        <w:rPr>
          <w:rFonts w:ascii="Cambria" w:hAnsi="Cambria" w:cs="Cambria" w:eastAsia="Cambria"/>
          <w:sz w:val="18"/>
        </w:rPr>
        <w:t xml:space="preserve"> SISM 2023 Report, Ministry of Health (December 2024): 54,946 users in care with Apulian Departments of Mental Health; 18,939 new users.</w:t>
      </w:r>
    </w:p>
  </w:footnote>
  <w:footnote w:id="17">
    <w:p>
      <w:pPr>
        <w:pStyle w:val="FootnoteText"/>
      </w:pPr>
      <w:r>
        <w:rPr>
          <w:rStyle w:val="FootnoteReference"/>
        </w:rPr>
        <w:footnoteRef/>
      </w:r>
      <w:r>
        <w:rPr>
          <w:rFonts w:ascii="Cambria" w:hAnsi="Cambria" w:cs="Cambria" w:eastAsia="Cambria"/>
          <w:sz w:val="18"/>
        </w:rPr>
        <w:t xml:space="preserve"> SISM 2023 Report and Motore Sanità (February 2025): 18,753 Emergency Department visits for psychiatric causes in 2023, +30% compared with the pre-pandemic period.</w:t>
      </w:r>
    </w:p>
  </w:footnote>
  <w:footnote w:id="18">
    <w:p>
      <w:pPr>
        <w:pStyle w:val="FootnoteText"/>
      </w:pPr>
      <w:r>
        <w:rPr>
          <w:rStyle w:val="FootnoteReference"/>
        </w:rPr>
        <w:footnoteRef/>
      </w:r>
      <w:r>
        <w:rPr>
          <w:rFonts w:ascii="Cambria" w:hAnsi="Cambria" w:cs="Cambria" w:eastAsia="Cambria"/>
          <w:sz w:val="18"/>
        </w:rPr>
        <w:t xml:space="preserve"> Ministry of Health, 2023 data: territorial psychiatric care €274.1 million, hospitalisations €11.2 million, total ≈€285 million (3.3% of regional health expenditure).</w:t>
      </w:r>
    </w:p>
  </w:footnote>
  <w:footnote w:id="19">
    <w:p>
      <w:pPr>
        <w:pStyle w:val="FootnoteText"/>
      </w:pPr>
      <w:r>
        <w:rPr>
          <w:rStyle w:val="FootnoteReference"/>
        </w:rPr>
        <w:footnoteRef/>
      </w:r>
      <w:r>
        <w:rPr>
          <w:rFonts w:ascii="Cambria" w:hAnsi="Cambria" w:cs="Cambria" w:eastAsia="Cambria"/>
          <w:sz w:val="18"/>
        </w:rPr>
        <w:t xml:space="preserve"> ISTAT, 2024 SDGs Report and preliminary 2025 data: Apulia AROPE indicator 37.7% (≈1.46 million individuals).</w:t>
      </w:r>
    </w:p>
  </w:footnote>
  <w:footnote w:id="20">
    <w:p>
      <w:pPr>
        <w:pStyle w:val="FootnoteText"/>
      </w:pPr>
      <w:r>
        <w:rPr>
          <w:rStyle w:val="FootnoteReference"/>
        </w:rPr>
        <w:footnoteRef/>
      </w:r>
      <w:r>
        <w:rPr>
          <w:rFonts w:ascii="Cambria" w:hAnsi="Cambria" w:cs="Cambria" w:eastAsia="Cambria"/>
          <w:sz w:val="18"/>
        </w:rPr>
        <w:t xml:space="preserve"> ISTAT, 2024 Labour Market Indicators: unemployment 9.3%, youth unemployment 32%, NEET rate 21.4% (age group 15-29).</w:t>
      </w:r>
    </w:p>
  </w:footnote>
  <w:footnote w:id="21">
    <w:p>
      <w:pPr>
        <w:pStyle w:val="FootnoteText"/>
      </w:pPr>
      <w:r>
        <w:rPr>
          <w:rStyle w:val="FootnoteReference"/>
        </w:rPr>
        <w:footnoteRef/>
      </w:r>
      <w:r>
        <w:rPr>
          <w:rFonts w:ascii="Cambria" w:hAnsi="Cambria" w:cs="Cambria" w:eastAsia="Cambria"/>
          <w:sz w:val="18"/>
        </w:rPr>
        <w:t xml:space="preserve"> Reibling et al., European Journal of Public Health 2017; The Lancet Psychiatry meta-analysis on unemployment.</w:t>
      </w:r>
    </w:p>
  </w:footnote>
  <w:footnote w:id="22">
    <w:p>
      <w:pPr>
        <w:pStyle w:val="FootnoteText"/>
      </w:pPr>
      <w:r>
        <w:rPr>
          <w:rStyle w:val="FootnoteReference"/>
        </w:rPr>
        <w:footnoteRef/>
      </w:r>
      <w:r>
        <w:rPr>
          <w:rFonts w:ascii="Cambria" w:hAnsi="Cambria" w:cs="Cambria" w:eastAsia="Cambria"/>
          <w:sz w:val="18"/>
        </w:rPr>
        <w:t xml:space="preserve"> PAR formula = Pe(RR−1)/[1+Pe(RR−1)], with Pe=0.377 and RR=2.3, yielding a population attributable risk of 32.7%.</w:t>
      </w:r>
    </w:p>
  </w:footnote>
  <w:footnote w:id="23">
    <w:p>
      <w:pPr>
        <w:pStyle w:val="FootnoteText"/>
      </w:pPr>
      <w:r>
        <w:rPr>
          <w:rStyle w:val="FootnoteReference"/>
        </w:rPr>
        <w:footnoteRef/>
      </w:r>
      <w:r>
        <w:rPr>
          <w:rFonts w:ascii="Cambria" w:hAnsi="Cambria" w:cs="Cambria" w:eastAsia="Cambria"/>
          <w:sz w:val="18"/>
        </w:rPr>
        <w:t xml:space="preserve"> 2022-2023 regional data and Il Sole 24 Ore: health expenditure ≈€8.5-8.6 billion; 2024 deficit grown to over €400 million.</w:t>
      </w:r>
    </w:p>
  </w:footnote>
  <w:footnote w:id="24">
    <w:p>
      <w:pPr>
        <w:pStyle w:val="FootnoteText"/>
      </w:pPr>
      <w:r>
        <w:rPr>
          <w:rStyle w:val="FootnoteReference"/>
        </w:rPr>
        <w:footnoteRef/>
      </w:r>
      <w:r>
        <w:rPr>
          <w:rFonts w:ascii="Cambria" w:hAnsi="Cambria" w:cs="Cambria" w:eastAsia="Cambria"/>
          <w:sz w:val="18"/>
        </w:rPr>
        <w:t xml:space="preserve"> NHS England, IAPT Annual Report 2023-2024; Trimbos Instituut; Woltmann et al., American Journal of Psychiatry 2012.</w:t>
      </w:r>
    </w:p>
  </w:footnote>
  <w:footnote w:id="25">
    <w:p>
      <w:pPr>
        <w:pStyle w:val="FootnoteText"/>
      </w:pPr>
      <w:r>
        <w:rPr>
          <w:rStyle w:val="FootnoteReference"/>
        </w:rPr>
        <w:footnoteRef/>
      </w:r>
      <w:r>
        <w:rPr>
          <w:rFonts w:ascii="Cambria" w:hAnsi="Cambria" w:cs="Cambria" w:eastAsia="Cambria"/>
          <w:sz w:val="18"/>
        </w:rPr>
        <w:t xml:space="preserve"> Ministerial Decree 77/2022 (Official Gazette, 22 June 2022) and Mission 6 of the PNRR.</w:t>
      </w:r>
    </w:p>
  </w:footnote>
  <w:footnote w:id="26">
    <w:p>
      <w:pPr>
        <w:pStyle w:val="FootnoteText"/>
      </w:pPr>
      <w:r>
        <w:rPr>
          <w:rStyle w:val="FootnoteReference"/>
        </w:rPr>
        <w:footnoteRef/>
      </w:r>
      <w:r>
        <w:rPr>
          <w:rFonts w:ascii="Cambria" w:hAnsi="Cambria" w:cs="Cambria" w:eastAsia="Cambria"/>
          <w:sz w:val="18"/>
        </w:rPr>
        <w:t xml:space="preserve"> Archer J. et al., PLOS ONE 2023: 74 RCTs, &gt;20,000 participants; NHS England Digital (September 2024).</w:t>
      </w:r>
    </w:p>
  </w:footnote>
  <w:footnote w:id="27">
    <w:p>
      <w:pPr>
        <w:pStyle w:val="FootnoteText"/>
      </w:pPr>
      <w:r>
        <w:rPr>
          <w:rStyle w:val="FootnoteReference"/>
        </w:rPr>
        <w:footnoteRef/>
      </w:r>
      <w:r>
        <w:rPr>
          <w:rFonts w:ascii="Cambria" w:hAnsi="Cambria" w:cs="Cambria" w:eastAsia="Cambria"/>
          <w:sz w:val="18"/>
        </w:rPr>
        <w:t xml:space="preserve"> Nederlandse Zorgautoriteit; study in BMC Primary Care 2024 (31,873 individuals with depression, 2014-2019).</w:t>
      </w:r>
    </w:p>
  </w:footnote>
  <w:footnote w:id="28">
    <w:p>
      <w:pPr>
        <w:pStyle w:val="FootnoteText"/>
      </w:pPr>
      <w:r>
        <w:rPr>
          <w:rStyle w:val="FootnoteReference"/>
        </w:rPr>
        <w:footnoteRef/>
      </w:r>
      <w:r>
        <w:rPr>
          <w:rFonts w:ascii="Cambria" w:hAnsi="Cambria" w:cs="Cambria" w:eastAsia="Cambria"/>
          <w:sz w:val="18"/>
        </w:rPr>
        <w:t xml:space="preserve"> Cochrane Database of Systematic Reviews 2024: 79 RCTs, 24,308 participants, SMD −0.28; JAMA Network Open 2025.</w:t>
      </w:r>
    </w:p>
  </w:footnote>
  <w:footnote w:id="29">
    <w:p>
      <w:pPr>
        <w:pStyle w:val="FootnoteText"/>
      </w:pPr>
      <w:r>
        <w:rPr>
          <w:rStyle w:val="FootnoteReference"/>
        </w:rPr>
        <w:footnoteRef/>
      </w:r>
      <w:r>
        <w:rPr>
          <w:rFonts w:ascii="Cambria" w:hAnsi="Cambria" w:cs="Cambria" w:eastAsia="Cambria"/>
          <w:sz w:val="18"/>
        </w:rPr>
        <w:t xml:space="preserve"> IAPT economic analyses: ICER £13,069/QALY, 92% probability of cost-effectiveness at the NICE threshold of £30,000.</w:t>
      </w:r>
    </w:p>
  </w:footnote>
  <w:footnote w:id="30">
    <w:p>
      <w:pPr>
        <w:pStyle w:val="FootnoteText"/>
      </w:pPr>
      <w:r>
        <w:rPr>
          <w:rStyle w:val="FootnoteReference"/>
        </w:rPr>
        <w:footnoteRef/>
      </w:r>
      <w:r>
        <w:rPr>
          <w:rFonts w:ascii="Cambria" w:hAnsi="Cambria" w:cs="Cambria" w:eastAsia="Cambria"/>
          <w:sz w:val="18"/>
        </w:rPr>
        <w:t xml:space="preserve"> IMPACT trial: direct healthcare savings are not statistically significant in isolation. Invariant caveat.</w:t>
      </w:r>
    </w:p>
  </w:footnote>
  <w:footnote w:id="31">
    <w:p>
      <w:pPr>
        <w:pStyle w:val="FootnoteText"/>
      </w:pPr>
      <w:r>
        <w:rPr>
          <w:rStyle w:val="FootnoteReference"/>
        </w:rPr>
        <w:footnoteRef/>
      </w:r>
      <w:r>
        <w:rPr>
          <w:rFonts w:ascii="Cambria" w:hAnsi="Cambria" w:cs="Cambria" w:eastAsia="Cambria"/>
          <w:sz w:val="18"/>
        </w:rPr>
        <w:t xml:space="preserve"> Ministerial Decree 77/2022: Hub Community Houses (1 per 40,000-50,000 residents), Spoke Community Houses, Community Hospitals (1 per 100,000 residents), Territorial Operations Centres.</w:t>
      </w:r>
    </w:p>
  </w:footnote>
  <w:footnote w:id="32">
    <w:p>
      <w:pPr>
        <w:pStyle w:val="FootnoteText"/>
      </w:pPr>
      <w:r>
        <w:rPr>
          <w:rStyle w:val="FootnoteReference"/>
        </w:rPr>
        <w:footnoteRef/>
      </w:r>
      <w:r>
        <w:rPr>
          <w:rFonts w:ascii="Cambria" w:hAnsi="Cambria" w:cs="Cambria" w:eastAsia="Cambria"/>
          <w:sz w:val="18"/>
        </w:rPr>
        <w:t xml:space="preserve"> NHS England Digital 2023-2024: 13,779 FTE staff (10,721 patient-facing) for 56 million residents.</w:t>
      </w:r>
    </w:p>
  </w:footnote>
  <w:footnote w:id="33">
    <w:p>
      <w:pPr>
        <w:pStyle w:val="FootnoteText"/>
      </w:pPr>
      <w:r>
        <w:rPr>
          <w:rStyle w:val="FootnoteReference"/>
        </w:rPr>
        <w:footnoteRef/>
      </w:r>
      <w:r>
        <w:rPr>
          <w:rFonts w:ascii="Cambria" w:hAnsi="Cambria" w:cs="Cambria" w:eastAsia="Cambria"/>
          <w:sz w:val="18"/>
        </w:rPr>
        <w:t xml:space="preserve"> Official sources: ISTAT, INPS, national healthcare collective labour agreement (CCNL), WHO/OECD documents, national and international guidelines.</w:t>
      </w:r>
    </w:p>
  </w:footnote>
  <w:footnote w:id="34">
    <w:p>
      <w:pPr>
        <w:pStyle w:val="FootnoteText"/>
      </w:pPr>
      <w:r>
        <w:rPr>
          <w:rStyle w:val="FootnoteReference"/>
        </w:rPr>
        <w:footnoteRef/>
      </w:r>
      <w:r>
        <w:rPr>
          <w:rFonts w:ascii="Cambria" w:hAnsi="Cambria" w:cs="Cambria" w:eastAsia="Cambria"/>
          <w:sz w:val="18"/>
        </w:rPr>
        <w:t xml:space="preserve"> Tariff model: hourly rate ≈€40/hour (ref. outpatient specialist national agreement, ACN), ≈1,250 hours/year, overheads ≈€5,000. Premises within Community Houses (PNRR).</w:t>
      </w:r>
    </w:p>
  </w:footnote>
  <w:footnote w:id="35">
    <w:p>
      <w:pPr>
        <w:pStyle w:val="FootnoteText"/>
      </w:pPr>
      <w:r>
        <w:rPr>
          <w:rStyle w:val="FootnoteReference"/>
        </w:rPr>
        <w:footnoteRef/>
      </w:r>
      <w:r>
        <w:rPr>
          <w:rFonts w:ascii="Cambria" w:hAnsi="Cambria" w:cs="Cambria" w:eastAsia="Cambria"/>
          <w:sz w:val="18"/>
        </w:rPr>
        <w:t xml:space="preserve"> Current service: ≈45 posts, ≈€1.5 million/year (≈€33,000 per post on a reduced hourly basis), corresponding to about 5% of the estimated requirement of 800-900 psychologists.</w:t>
      </w:r>
    </w:p>
  </w:footnote>
  <w:footnote w:id="36">
    <w:p>
      <w:pPr>
        <w:pStyle w:val="FootnoteText"/>
      </w:pPr>
      <w:r>
        <w:rPr>
          <w:rStyle w:val="FootnoteReference"/>
        </w:rPr>
        <w:footnoteRef/>
      </w:r>
      <w:r>
        <w:rPr>
          <w:rFonts w:ascii="Cambria" w:hAnsi="Cambria" w:cs="Cambria" w:eastAsia="Cambria"/>
          <w:sz w:val="18"/>
        </w:rPr>
        <w:t xml:space="preserve"> Cost-Benefit and Budget Impact Model, Apulia Region: steady-state direct cost in the order of €40 million (range €38-41 million).</w:t>
      </w:r>
    </w:p>
  </w:footnote>
  <w:footnote w:id="37">
    <w:p>
      <w:pPr>
        <w:pStyle w:val="FootnoteText"/>
      </w:pPr>
      <w:r>
        <w:rPr>
          <w:rStyle w:val="FootnoteReference"/>
        </w:rPr>
        <w:footnoteRef/>
      </w:r>
      <w:r>
        <w:rPr>
          <w:rFonts w:ascii="Cambria" w:hAnsi="Cambria" w:cs="Cambria" w:eastAsia="Cambria"/>
          <w:sz w:val="18"/>
        </w:rPr>
        <w:t xml:space="preserve"> Dedicated budget of €1 million/year for joint GP-Psychologist-Mental Health Centre training. Target population: ≈3,000 GPs + 800-900 psychologists ≈ 3,800 professionals.</w:t>
      </w:r>
    </w:p>
  </w:footnote>
  <w:footnote w:id="38">
    <w:p>
      <w:pPr>
        <w:pStyle w:val="FootnoteText"/>
      </w:pPr>
      <w:r>
        <w:rPr>
          <w:rStyle w:val="FootnoteReference"/>
        </w:rPr>
        <w:footnoteRef/>
      </w:r>
      <w:r>
        <w:rPr>
          <w:rFonts w:ascii="Cambria" w:hAnsi="Cambria" w:cs="Cambria" w:eastAsia="Cambria"/>
          <w:sz w:val="18"/>
        </w:rPr>
        <w:t xml:space="preserve"> Sources of financial coverage: ordinary Regional Health Service funding, PNRR Mission 6, national mental health funds, reinvestment of direct savings, cross-sectoral agreements.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48" w:sz="6"/>
      </w:pBdr>
      <w:jc w:val="right"/>
    </w:pPr>
    <w:r>
      <w:rPr>
        <w:rFonts w:ascii="Calibri" w:cs="Calibri" w:eastAsia="Calibri" w:hAnsi="Calibri"/>
        <w:color w:val="16264B"/>
        <w:sz w:val="16"/>
        <w:szCs w:val="16"/>
      </w:rPr>
      <w:t xml:space="preserve">Studio Integrale · Psicologo di Base · Volume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101">
    <w:abstractNumId w:val="101"/>
    <w:lvlOverride w:ilvl="0">
      <w:startOverride w:val="1"/>
    </w:lvlOverride>
  </w:num>
  <w:num w:numId="102">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5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shd w:val="clear" w:color="auto" w:fill="16264B"/>
      <w:spacing w:before="380" w:after="260" w:line="384" w:lineRule="auto"/>
      <w:ind w:left="180" w:right="160"/>
      <w:jc w:val="left"/>
    </w:pPr>
    <w:rPr>
      <w:rFonts w:ascii="Calibri" w:hAnsi="Calibri" w:cs="Calibri" w:eastAsia="Calibri"/>
      <w:b/>
      <w:color w:val="FFFFFF"/>
      <w:sz w:val="38"/>
      <w:szCs w:val="32"/>
    </w:rPr>
  </w:style>
  <w:style w:type="paragraph" w:styleId="Heading2">
    <w:name w:val="Heading 2"/>
    <w:basedOn w:val="Normal"/>
    <w:next w:val="Normal"/>
    <w:qFormat/>
    <w:pPr>
      <w:keepNext/>
      <w:spacing w:before="280" w:after="120" w:line="276" w:lineRule="auto"/>
      <w:jc w:val="left"/>
    </w:pPr>
    <w:rPr>
      <w:rFonts w:ascii="Calibri" w:hAnsi="Calibri" w:cs="Calibri" w:eastAsia="Calibri"/>
      <w:b/>
      <w:color w:val="16264B"/>
      <w:sz w:val="30"/>
      <w:szCs w:val="26"/>
    </w:rPr>
  </w:style>
  <w:style w:type="paragraph" w:styleId="Heading3">
    <w:name w:val="Heading 3"/>
    <w:basedOn w:val="Normal"/>
    <w:next w:val="Normal"/>
    <w:qFormat/>
    <w:pPr>
      <w:keepNext/>
      <w:spacing w:before="200" w:after="80" w:line="276" w:lineRule="auto"/>
      <w:jc w:val="left"/>
    </w:pPr>
    <w:rPr>
      <w:rFonts w:ascii="Calibri" w:hAnsi="Calibri" w:cs="Calibri" w:eastAsia="Calibri"/>
      <w:b/>
      <w:color w:val="2E4272"/>
      <w:sz w:val="26"/>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Integrale Psicologo di Base — Volume I (Capitoli I–IV)</dc:title>
  <dc:creator>Luigi De Michele</dc:creator>
  <cp:lastModifiedBy>Un-named</cp:lastModifiedBy>
  <cp:revision>1</cp:revision>
  <dcterms:created xsi:type="dcterms:W3CDTF">2026-07-01T22:44:27.378Z</dcterms:created>
  <dcterms:modified xsi:type="dcterms:W3CDTF">2026-07-01T22:44:27.378Z</dcterms:modified>
</cp:coreProperties>
</file>

<file path=docProps/custom.xml><?xml version="1.0" encoding="utf-8"?>
<Properties xmlns="http://schemas.openxmlformats.org/officeDocument/2006/custom-properties" xmlns:vt="http://schemas.openxmlformats.org/officeDocument/2006/docPropsVTypes"/>
</file>