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w:t>
      </w:r>
    </w:p>
    <w:p>
      <w:pPr>
        <w:spacing w:after="120" w:line="276"/>
        <w:jc w:val="both"/>
      </w:pPr>
      <w:r>
        <w:rPr>
          <w:rFonts w:ascii="Barlow Semi Condensed" w:cs="Barlow Semi Condensed" w:eastAsia="Barlow Semi Condensed" w:hAnsi="Barlow Semi Condensed"/>
          <w:b/>
          <w:bCs/>
          <w:sz w:val="24"/>
          <w:szCs w:val="24"/>
        </w:rPr>
        <w:t xml:space="preserve">La colpa non è mai del gruppo, ed è sempre della persona · Il registro nominativo del giudicato · La prosopografia dei tredici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 volume.</w:t>
      </w:r>
      <w:r>
        <w:rPr>
          <w:rFonts w:ascii="Barlow Semi Condensed" w:cs="Barlow Semi Condensed" w:eastAsia="Barlow Semi Condensed" w:hAnsi="Barlow Semi Condensed"/>
          <w:i w:val="false"/>
          <w:iCs w:val="false"/>
          <w:sz w:val="24"/>
          <w:szCs w:val="24"/>
        </w:rPr>
        <w:t xml:space="preserve"> Il corpo del volume è la </w:t>
      </w:r>
      <w:r>
        <w:rPr>
          <w:rFonts w:ascii="Barlow Semi Condensed" w:cs="Barlow Semi Condensed" w:eastAsia="Barlow Semi Condensed" w:hAnsi="Barlow Semi Condensed"/>
          <w:b/>
          <w:bCs/>
          <w:i w:val="false"/>
          <w:iCs w:val="false"/>
          <w:sz w:val="24"/>
          <w:szCs w:val="24"/>
        </w:rPr>
        <w:t xml:space="preserve">Fase decima</w:t>
      </w:r>
      <w:r>
        <w:rPr>
          <w:rFonts w:ascii="Barlow Semi Condensed" w:cs="Barlow Semi Condensed" w:eastAsia="Barlow Semi Condensed" w:hAnsi="Barlow Semi Condensed"/>
          <w:i w:val="false"/>
          <w:iCs w:val="false"/>
          <w:sz w:val="24"/>
          <w:szCs w:val="24"/>
        </w:rPr>
        <w:t xml:space="preserve"> dell'opera (capp. 77-82): il principio dell'articolo 27 della Costituzione reso esplicito e sistematico — l'eliminazione della colpa dei gruppi in entrambe le direzioni e la sua sostituzione con il </w:t>
      </w:r>
      <w:r>
        <w:rPr>
          <w:rFonts w:ascii="Barlow Semi Condensed" w:cs="Barlow Semi Condensed" w:eastAsia="Barlow Semi Condensed" w:hAnsi="Barlow Semi Condensed"/>
          <w:b/>
          <w:bCs/>
          <w:i w:val="false"/>
          <w:iCs w:val="false"/>
          <w:sz w:val="24"/>
          <w:szCs w:val="24"/>
        </w:rPr>
        <w:t xml:space="preserve">registro nominativo delle tredici responsabilità personali</w:t>
      </w:r>
      <w:r>
        <w:rPr>
          <w:rFonts w:ascii="Barlow Semi Condensed" w:cs="Barlow Semi Condensed" w:eastAsia="Barlow Semi Condensed" w:hAnsi="Barlow Semi Condensed"/>
          <w:i w:val="false"/>
          <w:iCs w:val="false"/>
          <w:sz w:val="24"/>
          <w:szCs w:val="24"/>
        </w:rPr>
        <w:t xml:space="preserve"> accertate in giudicato, ciascuna con la propria condotta e la propria sentenza; il caso Algranati come prova che il giudicato vale nei due sensi; l'appartenenza a uno o più gruppi come fatto biografico inerte. In </w:t>
      </w:r>
      <w:r>
        <w:rPr>
          <w:rFonts w:ascii="Barlow Semi Condensed" w:cs="Barlow Semi Condensed" w:eastAsia="Barlow Semi Condensed" w:hAnsi="Barlow Semi Condensed"/>
          <w:b/>
          <w:bCs/>
          <w:i w:val="false"/>
          <w:iCs w:val="false"/>
          <w:sz w:val="24"/>
          <w:szCs w:val="24"/>
        </w:rPr>
        <w:t xml:space="preserve">appendice</w:t>
      </w:r>
      <w:r>
        <w:rPr>
          <w:rFonts w:ascii="Barlow Semi Condensed" w:cs="Barlow Semi Condensed" w:eastAsia="Barlow Semi Condensed" w:hAnsi="Barlow Semi Condensed"/>
          <w:i w:val="false"/>
          <w:iCs w:val="false"/>
          <w:sz w:val="24"/>
          <w:szCs w:val="24"/>
        </w:rPr>
        <w:t xml:space="preserve">, il complemento dichiarato della Fase: la </w:t>
      </w:r>
      <w:r>
        <w:rPr>
          <w:rFonts w:ascii="Barlow Semi Condensed" w:cs="Barlow Semi Condensed" w:eastAsia="Barlow Semi Condensed" w:hAnsi="Barlow Semi Condensed"/>
          <w:b/>
          <w:bCs/>
          <w:i w:val="false"/>
          <w:iCs w:val="false"/>
          <w:sz w:val="24"/>
          <w:szCs w:val="24"/>
        </w:rPr>
        <w:t xml:space="preserve">triangolazione dei tredici condannati con il corpus</w:t>
      </w:r>
      <w:r>
        <w:rPr>
          <w:rFonts w:ascii="Barlow Semi Condensed" w:cs="Barlow Semi Condensed" w:eastAsia="Barlow Semi Condensed" w:hAnsi="Barlow Semi Condensed"/>
          <w:i w:val="false"/>
          <w:iCs w:val="false"/>
          <w:sz w:val="24"/>
          <w:szCs w:val="24"/>
        </w:rPr>
        <w:t xml:space="preserve"> — otto ponti documentati e verificati verso gli altri domini (il ceppo CPM del 1969, il canale della trattativa, via Monte Nevoso, la genealogia reggiana, il Vaticano e l'America Latina, la Svizzera, la memoria come vettore), quattro esiti negativi dichiarati, cinque anti-triangolazioni e la chiusura sul confronto di metodo col Tribunale Speciale.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Vale in ogni pagina la Regola di Ferro: si nominano come responsabili solo coloro che una sentenza definitiva ha condannato; nessuna graduatoria, nessuna percentuale; l'appartenenza non è condotta, la contemporaneità non è nesso, la parentela non è canale, l'origine comune non è regia; gli assolti restano assolti; gli esiti negativi sono acquisizioni di pieno valore; ogni verifica è stata condotta su fonti prima della stesura, con gli indirizzi riportati per la tracciabilità.</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Appendice — Triangolazione dei tredici condannati con il corpus</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2026-08-25T17:39:52.649Z</dcterms:created>
  <dcterms:modified xsi:type="dcterms:W3CDTF">2026-08-25T17:39:52.649Z</dcterms:modified>
</cp:coreProperties>
</file>

<file path=docProps/custom.xml><?xml version="1.0" encoding="utf-8"?>
<Properties xmlns="http://schemas.openxmlformats.org/officeDocument/2006/custom-properties" xmlns:vt="http://schemas.openxmlformats.org/officeDocument/2006/docPropsVTypes"/>
</file>