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alla Farnesina</w:t>
      </w:r>
    </w:p>
    <w:p>
      <w:pPr>
        <w:pStyle w:val="Heading2"/>
        <w:spacing w:after="100" w:before="200"/>
      </w:pPr>
      <w:r>
        <w:rPr>
          <w:rFonts w:ascii="Barlow Semi Condensed" w:cs="Barlow Semi Condensed" w:eastAsia="Barlow Semi Condensed" w:hAnsi="Barlow Semi Condensed"/>
          <w:sz w:val="24"/>
          <w:szCs w:val="24"/>
        </w:rPr>
        <w:t xml:space="preserve">La dimensione diplomatica dello statista (1969-1974)</w:t>
      </w:r>
    </w:p>
    <w:p>
      <w:pPr>
        <w:spacing w:after="120" w:line="276"/>
        <w:jc w:val="both"/>
      </w:pPr>
      <w:r>
        <w:rPr>
          <w:rFonts w:ascii="Barlow Semi Condensed" w:cs="Barlow Semi Condensed" w:eastAsia="Barlow Semi Condensed" w:hAnsi="Barlow Semi Condensed"/>
          <w:b/>
          <w:bCs/>
          <w:sz w:val="24"/>
          <w:szCs w:val="24"/>
        </w:rPr>
        <w:t xml:space="preserve">La strategia dell'attenzione fatta atto · i versanti mediterranei · le triangolazioni con la Santa Sede e con l'Opus Dei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della cartella «moro-ministro-esteri»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volume.</w:t>
      </w:r>
      <w:r>
        <w:rPr>
          <w:rFonts w:ascii="Barlow Semi Condensed" w:cs="Barlow Semi Condensed" w:eastAsia="Barlow Semi Condensed" w:hAnsi="Barlow Semi Condensed"/>
          <w:i w:val="false"/>
          <w:iCs w:val="false"/>
          <w:sz w:val="24"/>
          <w:szCs w:val="24"/>
        </w:rPr>
        <w:t xml:space="preserve"> Raccoglie in un solo tomo le ricognizioni storiografiche e archivistiche su Aldo Moro ministro degli Affari Esteri nei due mandati fra il 5 agosto 1969 e il 23 novembre 1974. È il complemento documentale della «Fase ottava — Il ritratto»: là si racconta l'uomo e lo statista; qui si documenta che cosa quello statista fece come ministro degli Esteri.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Apre la </w:t>
      </w:r>
      <w:r>
        <w:rPr>
          <w:rFonts w:ascii="Barlow Semi Condensed" w:cs="Barlow Semi Condensed" w:eastAsia="Barlow Semi Condensed" w:hAnsi="Barlow Semi Condensed"/>
          <w:b/>
          <w:bCs/>
          <w:i w:val="false"/>
          <w:iCs w:val="false"/>
          <w:sz w:val="24"/>
          <w:szCs w:val="24"/>
        </w:rPr>
        <w:t xml:space="preserve">collazione</w:t>
      </w:r>
      <w:r>
        <w:rPr>
          <w:rFonts w:ascii="Barlow Semi Condensed" w:cs="Barlow Semi Condensed" w:eastAsia="Barlow Semi Condensed" w:hAnsi="Barlow Semi Condensed"/>
          <w:i w:val="false"/>
          <w:iCs w:val="false"/>
          <w:sz w:val="24"/>
          <w:szCs w:val="24"/>
        </w:rPr>
        <w:t xml:space="preserve"> (il filo che tiene insieme la materia e le tre acquisizioni certe). Segue la </w:t>
      </w:r>
      <w:r>
        <w:rPr>
          <w:rFonts w:ascii="Barlow Semi Condensed" w:cs="Barlow Semi Condensed" w:eastAsia="Barlow Semi Condensed" w:hAnsi="Barlow Semi Condensed"/>
          <w:b/>
          <w:bCs/>
          <w:i w:val="false"/>
          <w:iCs w:val="false"/>
          <w:sz w:val="24"/>
          <w:szCs w:val="24"/>
        </w:rPr>
        <w:t xml:space="preserve">ricognizione-madre</w:t>
      </w:r>
      <w:r>
        <w:rPr>
          <w:rFonts w:ascii="Barlow Semi Condensed" w:cs="Barlow Semi Condensed" w:eastAsia="Barlow Semi Condensed" w:hAnsi="Barlow Semi Condensed"/>
          <w:i w:val="false"/>
          <w:iCs w:val="false"/>
          <w:sz w:val="24"/>
          <w:szCs w:val="24"/>
        </w:rPr>
        <w:t xml:space="preserve"> in dodici capitoli sui due mandati. Vengono poi i </w:t>
      </w:r>
      <w:r>
        <w:rPr>
          <w:rFonts w:ascii="Barlow Semi Condensed" w:cs="Barlow Semi Condensed" w:eastAsia="Barlow Semi Condensed" w:hAnsi="Barlow Semi Condensed"/>
          <w:b/>
          <w:bCs/>
          <w:i w:val="false"/>
          <w:iCs w:val="false"/>
          <w:sz w:val="24"/>
          <w:szCs w:val="24"/>
        </w:rPr>
        <w:t xml:space="preserve">quattro versanti nazionali</w:t>
      </w:r>
      <w:r>
        <w:rPr>
          <w:rFonts w:ascii="Barlow Semi Condensed" w:cs="Barlow Semi Condensed" w:eastAsia="Barlow Semi Condensed" w:hAnsi="Barlow Semi Condensed"/>
          <w:i w:val="false"/>
          <w:iCs w:val="false"/>
          <w:sz w:val="24"/>
          <w:szCs w:val="24"/>
        </w:rPr>
        <w:t xml:space="preserve"> che verificano una proposizione confutabile sull'insediamento dell'Opus Dei — Germania e Portogallo (presenza), Grecia e Turchia («Stato Zero») — ciascuno col proprio versante moroteo. Chiudono il dossier </w:t>
      </w:r>
      <w:r>
        <w:rPr>
          <w:rFonts w:ascii="Barlow Semi Condensed" w:cs="Barlow Semi Condensed" w:eastAsia="Barlow Semi Condensed" w:hAnsi="Barlow Semi Condensed"/>
          <w:b/>
          <w:bCs/>
          <w:i w:val="false"/>
          <w:iCs w:val="false"/>
          <w:sz w:val="24"/>
          <w:szCs w:val="24"/>
        </w:rPr>
        <w:t xml:space="preserve">Santa Sede-Turchia con l'attentato del 1981</w:t>
      </w:r>
      <w:r>
        <w:rPr>
          <w:rFonts w:ascii="Barlow Semi Condensed" w:cs="Barlow Semi Condensed" w:eastAsia="Barlow Semi Condensed" w:hAnsi="Barlow Semi Condensed"/>
          <w:i w:val="false"/>
          <w:iCs w:val="false"/>
          <w:sz w:val="24"/>
          <w:szCs w:val="24"/>
        </w:rPr>
        <w:t xml:space="preserve"> a Giovanni Paolo II e, in appendice, la nota sui </w:t>
      </w:r>
      <w:r>
        <w:rPr>
          <w:rFonts w:ascii="Barlow Semi Condensed" w:cs="Barlow Semi Condensed" w:eastAsia="Barlow Semi Condensed" w:hAnsi="Barlow Semi Condensed"/>
          <w:b/>
          <w:bCs/>
          <w:i w:val="false"/>
          <w:iCs w:val="false"/>
          <w:sz w:val="24"/>
          <w:szCs w:val="24"/>
        </w:rPr>
        <w:t xml:space="preserve">documenti del Dipartimento di Stato USA</w:t>
      </w:r>
      <w:r>
        <w:rPr>
          <w:rFonts w:ascii="Barlow Semi Condensed" w:cs="Barlow Semi Condensed" w:eastAsia="Barlow Semi Condensed" w:hAnsi="Barlow Semi Condensed"/>
          <w:i w:val="false"/>
          <w:iCs w:val="false"/>
          <w:sz w:val="24"/>
          <w:szCs w:val="24"/>
        </w:rPr>
        <w:t xml:space="preserve">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Le firme comunitarie e l'Atto finale di Helsinki sono fatti pubblici documentati; gli esiti negativi di ricerca sono dichiarati come acquisizioni di pieno valore, con la sede d'archivio per chiuderli; la «pista bulgara» è qualificata come congettura giudizialmente non provata. Nessuna imputazione oltre il giudicato; l'appartenenza di una persona a un'organizzazione non è prova di una condotta dell'organizzazione; la contemporaneità non è prova di nesso. Per le persone viventi si riportano esclusivamente fatti pubblici documentati.</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 — La ricognizione generale</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II — Il versante tedesco</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III — Il versante portoghese</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IV — Il versante greco</w:t>
      </w:r>
    </w:p>
    <w:p>
      <w:pPr>
        <w:pStyle w:val="Heading1"/>
        <w:spacing w:after="120" w:before="240"/>
      </w:pPr>
      <w:r>
        <w:rPr>
          <w:rFonts w:ascii="Barlow Semi Condensed" w:cs="Barlow Semi Condensed" w:eastAsia="Barlow Semi Condensed" w:hAnsi="Barlow Semi Condensed"/>
          <w:sz w:val="24"/>
          <w:szCs w:val="24"/>
        </w:rPr>
        <w:t xml:space="preserve">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 — Il versante turco</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VI — La Santa Sede, la Turchia e l'attentato del 1981</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Appendice — I documenti del Dipartimento di Stato (1965 e 1978)</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2026-08-25T17:39:52.396Z</dcterms:created>
  <dcterms:modified xsi:type="dcterms:W3CDTF">2026-08-25T17:39:52.396Z</dcterms:modified>
</cp:coreProperties>
</file>

<file path=docProps/custom.xml><?xml version="1.0" encoding="utf-8"?>
<Properties xmlns="http://schemas.openxmlformats.org/officeDocument/2006/custom-properties" xmlns:vt="http://schemas.openxmlformats.org/officeDocument/2006/docPropsVTypes"/>
</file>