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La terza strada — Il ceppo Simioni e il nodo Hyperion</w:t>
      </w:r>
    </w:p>
    <w:p>
      <w:pPr>
        <w:spacing w:after="120" w:line="276"/>
        <w:jc w:val="both"/>
      </w:pPr>
      <w:r>
        <w:rPr>
          <w:rFonts w:ascii="Barlow Semi Condensed" w:cs="Barlow Semi Condensed" w:eastAsia="Barlow Semi Condensed" w:hAnsi="Barlow Semi Condensed"/>
          <w:b/>
          <w:bCs/>
          <w:sz w:val="24"/>
          <w:szCs w:val="24"/>
        </w:rPr>
        <w:t xml:space="preserve">Dittico: lo studio monografico della discendenza CPM → Superclan → Hyperion · la triangolazione del nodo con il corpus</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 e l'esito in testa.</w:t>
      </w:r>
      <w:r>
        <w:rPr>
          <w:rFonts w:ascii="Barlow Semi Condensed" w:cs="Barlow Semi Condensed" w:eastAsia="Barlow Semi Condensed" w:hAnsi="Barlow Semi Condensed"/>
          <w:i w:val="false"/>
          <w:iCs w:val="false"/>
          <w:sz w:val="24"/>
          <w:szCs w:val="24"/>
        </w:rPr>
        <w:t xml:space="preserve"> Questo dittico raccoglie i due pannelli della «terza strada» della matrice milanese del 1969. Il </w:t>
      </w:r>
      <w:r>
        <w:rPr>
          <w:rFonts w:ascii="Barlow Semi Condensed" w:cs="Barlow Semi Condensed" w:eastAsia="Barlow Semi Condensed" w:hAnsi="Barlow Semi Condensed"/>
          <w:b/>
          <w:bCs/>
          <w:i w:val="false"/>
          <w:iCs w:val="false"/>
          <w:sz w:val="24"/>
          <w:szCs w:val="24"/>
        </w:rPr>
        <w:t xml:space="preserve">primo pannello</w:t>
      </w:r>
      <w:r>
        <w:rPr>
          <w:rFonts w:ascii="Barlow Semi Condensed" w:cs="Barlow Semi Condensed" w:eastAsia="Barlow Semi Condensed" w:hAnsi="Barlow Semi Condensed"/>
          <w:i w:val="false"/>
          <w:iCs w:val="false"/>
          <w:sz w:val="24"/>
          <w:szCs w:val="24"/>
        </w:rPr>
        <w:t xml:space="preserve"> è lo studio monografico del ceppo Simioni: la fondazione a due del CPM (8 settembre 1969), la biografia di Corrado Simioni coi gradi dichiarati, la scissione del 1970-71 e il Superclan, Parigi e Hyperion, i tre percorsi giudiziari persona per persona, le suggestioni pesate una per una. Il </w:t>
      </w:r>
      <w:r>
        <w:rPr>
          <w:rFonts w:ascii="Barlow Semi Condensed" w:cs="Barlow Semi Condensed" w:eastAsia="Barlow Semi Condensed" w:hAnsi="Barlow Semi Condensed"/>
          <w:b/>
          <w:bCs/>
          <w:i w:val="false"/>
          <w:iCs w:val="false"/>
          <w:sz w:val="24"/>
          <w:szCs w:val="24"/>
        </w:rPr>
        <w:t xml:space="preserve">secondo pannello</w:t>
      </w:r>
      <w:r>
        <w:rPr>
          <w:rFonts w:ascii="Barlow Semi Condensed" w:cs="Barlow Semi Condensed" w:eastAsia="Barlow Semi Condensed" w:hAnsi="Barlow Semi Condensed"/>
          <w:i w:val="false"/>
          <w:iCs w:val="false"/>
          <w:sz w:val="24"/>
          <w:szCs w:val="24"/>
        </w:rPr>
        <w:t xml:space="preserve"> è la triangolazione del nodo Hyperion con il corpus: i nove fatti documentati (HY-1…HY-9), le due tesi contrapposte entrambe lasciate al grado di congettura, i ponti e le anti-triangolazioni. Prima di ogni pagina vale il loro esito comune: </w:t>
      </w:r>
      <w:r>
        <w:rPr>
          <w:rFonts w:ascii="Barlow Semi Condensed" w:cs="Barlow Semi Condensed" w:eastAsia="Barlow Semi Condensed" w:hAnsi="Barlow Semi Condensed"/>
          <w:b/>
          <w:bCs/>
          <w:i w:val="false"/>
          <w:iCs w:val="false"/>
          <w:sz w:val="24"/>
          <w:szCs w:val="24"/>
        </w:rPr>
        <w:t xml:space="preserve">tutti i procedimenti su Hyperion e sui suoi fondatori si chiusero con proscioglimenti e assoluzioni — Mulinaris con formula piena e risarcimento, Berio due volte, Simioni mai condannato.</w:t>
      </w:r>
      <w:r>
        <w:rPr>
          <w:rFonts w:ascii="Barlow Semi Condensed" w:cs="Barlow Semi Condensed" w:eastAsia="Barlow Semi Condensed" w:hAnsi="Barlow Semi Condensed"/>
          <w:i w:val="false"/>
          <w:iCs w:val="false"/>
          <w:sz w:val="24"/>
          <w:szCs w:val="24"/>
        </w:rPr>
        <w:t xml:space="preserve"> Nessuno è mai stato condannato; la presunzione d'innocenza è piena e nominale.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La Regola di Ferro vale qui al massimo grado: dove la fonte documenta, si certifica; dove tace, si tace. La memorialistica della scissione opposta è fonte di parte (grado C); il «si dice» resta «si dice»; l'impiego non è appartenenza e l'appartenenza non è condotta; la coincidenza non è nesso; il «fu assolto, ma» è bandito. Ogni verifica è stata condotta su fonti prima della stesura, con gli indirizzi riportati per la tracciabilità.</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Pannello primo — Il ceppo Simioni: la discendenza CPM → Superclan → Hyperion</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Barlow Semi Condensed" w:cs="Barlow Semi Condensed" w:eastAsia="Barlow Semi Condensed" w:hAnsi="Barlow Semi Condensed"/>
          <w:sz w:val="24"/>
          <w:szCs w:val="24"/>
        </w:rPr>
        <w:t xml:space="preserve">Pannello secondo — Triangolazione del nodo Hyperion con il corpus</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2026-08-25T17:39:52.838Z</dcterms:created>
  <dcterms:modified xsi:type="dcterms:W3CDTF">2026-08-25T17:39:52.838Z</dcterms:modified>
</cp:coreProperties>
</file>

<file path=docProps/custom.xml><?xml version="1.0" encoding="utf-8"?>
<Properties xmlns="http://schemas.openxmlformats.org/officeDocument/2006/custom-properties" xmlns:vt="http://schemas.openxmlformats.org/officeDocument/2006/docPropsVTypes"/>
</file>